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8"/>
        </w:rPr>
        <w:t>WASHINGTON, D.C. 20549</w:t>
      </w:r>
      <w:r>
        <w:rPr>
          <w:color w:val="000000"/>
        </w:rPr>
        <w:t>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FORM 10-K </w:t>
      </w:r>
    </w:p>
    <w:tbl>
      <w:tblPr>
        <w:tblW w:w="9836" w:type="dxa"/>
        <w:jc w:val="center"/>
        <w:tblInd w:w="0" w:type="dxa"/>
        <w:tblLayout w:type="fixed"/>
        <w:tblCellMar>
          <w:top w:w="28" w:type="dxa"/>
          <w:left w:w="28" w:type="dxa"/>
          <w:bottom w:w="28" w:type="dxa"/>
          <w:right w:w="28" w:type="dxa"/>
        </w:tblCellMar>
      </w:tblPr>
      <w:tblGrid>
        <w:gridCol w:w="124"/>
        <w:gridCol w:w="109"/>
        <w:gridCol w:w="109"/>
        <w:gridCol w:w="2775"/>
        <w:gridCol w:w="2775"/>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THE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OR</w:t>
      </w:r>
    </w:p>
    <w:tbl>
      <w:tblPr>
        <w:tblW w:w="9791" w:type="dxa"/>
        <w:jc w:val="center"/>
        <w:tblInd w:w="0" w:type="dxa"/>
        <w:tblLayout w:type="fixed"/>
        <w:tblCellMar>
          <w:top w:w="28" w:type="dxa"/>
          <w:left w:w="28" w:type="dxa"/>
          <w:bottom w:w="28" w:type="dxa"/>
          <w:right w:w="28" w:type="dxa"/>
        </w:tblCellMar>
      </w:tblPr>
      <w:tblGrid>
        <w:gridCol w:w="124"/>
        <w:gridCol w:w="109"/>
        <w:gridCol w:w="109"/>
        <w:gridCol w:w="2768"/>
        <w:gridCol w:w="2768"/>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before="0" w:after="0"/>
        <w:jc w:val="center"/>
        <w:rPr/>
      </w:pPr>
      <w:r>
        <w:rPr/>
      </w:r>
    </w:p>
    <w:p>
      <w:pPr>
        <w:pStyle w:val="TextBody"/>
        <w:bidi w:val="0"/>
        <w:spacing w:lineRule="auto" w:line="288" w:before="20" w:after="283"/>
        <w:jc w:val="center"/>
        <w:rPr/>
      </w:pPr>
      <w:r>
        <w:rPr>
          <w:rFonts w:ascii="Times New Roman;serif" w:hAnsi="Times New Roman;serif"/>
          <w:b/>
          <w:color w:val="000000"/>
          <w:sz w:val="20"/>
        </w:rPr>
        <w:t>Commission file number: 1-07533</w:t>
      </w:r>
      <w:r>
        <w:rPr>
          <w:color w:val="000000"/>
        </w:rPr>
        <w:t> </w:t>
      </w:r>
      <w:r>
        <w:rPr>
          <w:rFonts w:ascii="Times New Roman;serif" w:hAnsi="Times New Roman;serif"/>
          <w:b/>
          <w:color w:val="000000"/>
          <w:sz w:val="20"/>
        </w:rPr>
        <w:t>(Federal Realty Investment Trust)</w:t>
      </w:r>
    </w:p>
    <w:p>
      <w:pPr>
        <w:pStyle w:val="TextBody"/>
        <w:bidi w:val="0"/>
        <w:spacing w:lineRule="auto" w:line="288" w:before="20" w:after="283"/>
        <w:jc w:val="center"/>
        <w:rPr/>
      </w:pPr>
      <w:r>
        <w:rPr>
          <w:rFonts w:ascii="Times New Roman;serif" w:hAnsi="Times New Roman;serif"/>
          <w:b/>
          <w:color w:val="000000"/>
          <w:sz w:val="20"/>
        </w:rPr>
        <w:t>Commission file number: 333-262016-01 (Federal Realty OP LP)</w:t>
      </w:r>
      <w:r>
        <w:rPr>
          <w:color w:val="000000"/>
        </w:rPr>
        <w:t> </w:t>
      </w:r>
    </w:p>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color w:val="000000"/>
          <w:sz w:val="38"/>
        </w:rPr>
      </w:pPr>
      <w:r>
        <w:rPr>
          <w:rFonts w:ascii="Times New Roman;serif" w:hAnsi="Times New Roman;serif"/>
          <w:b/>
          <w:color w:val="000000"/>
          <w:sz w:val="38"/>
        </w:rPr>
        <w:t xml:space="preserve">FEDERAL REALTY INVESTMENT TRUST </w:t>
      </w:r>
    </w:p>
    <w:p>
      <w:pPr>
        <w:pStyle w:val="TextBody"/>
        <w:bidi w:val="0"/>
        <w:spacing w:lineRule="auto" w:line="288" w:before="20" w:after="283"/>
        <w:jc w:val="center"/>
        <w:rPr>
          <w:rFonts w:ascii="Times New Roman;serif" w:hAnsi="Times New Roman;serif"/>
          <w:b/>
          <w:color w:val="000000"/>
          <w:sz w:val="38"/>
        </w:rPr>
      </w:pPr>
      <w:r>
        <w:rPr>
          <w:rFonts w:ascii="Times New Roman;serif" w:hAnsi="Times New Roman;serif"/>
          <w:b/>
          <w:color w:val="000000"/>
          <w:sz w:val="38"/>
        </w:rPr>
        <w:t>FEDERAL REALTY OP LP</w:t>
      </w:r>
    </w:p>
    <w:p>
      <w:pPr>
        <w:pStyle w:val="TextBody"/>
        <w:bidi w:val="0"/>
        <w:spacing w:lineRule="auto" w:line="288" w:before="0" w:after="0"/>
        <w:jc w:val="center"/>
        <w:rPr/>
      </w:pPr>
      <w:r>
        <w:rPr>
          <w:rFonts w:ascii="Times New Roman;serif" w:hAnsi="Times New Roman;serif"/>
          <w:b/>
          <w:color w:val="000000"/>
          <w:sz w:val="18"/>
        </w:rPr>
        <w:t>(Exact Name of Registrant as Specified in its charter)</w:t>
      </w:r>
      <w:r>
        <w:rPr>
          <w:color w:val="000000"/>
        </w:rPr>
        <w:t> </w:t>
      </w:r>
    </w:p>
    <w:tbl>
      <w:tblPr>
        <w:tblW w:w="6821" w:type="dxa"/>
        <w:jc w:val="left"/>
        <w:tblInd w:w="0" w:type="dxa"/>
        <w:tblLayout w:type="fixed"/>
        <w:tblCellMar>
          <w:top w:w="28" w:type="dxa"/>
          <w:left w:w="28" w:type="dxa"/>
          <w:bottom w:w="28" w:type="dxa"/>
          <w:right w:w="28" w:type="dxa"/>
        </w:tblCellMar>
      </w:tblPr>
      <w:tblGrid>
        <w:gridCol w:w="1408"/>
        <w:gridCol w:w="1234"/>
        <w:gridCol w:w="1242"/>
        <w:gridCol w:w="109"/>
        <w:gridCol w:w="109"/>
        <w:gridCol w:w="109"/>
        <w:gridCol w:w="762"/>
        <w:gridCol w:w="762"/>
        <w:gridCol w:w="1086"/>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909 Rose Avenue, Suite 200, North Bethesda, Maryland 20852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 xml:space="preserve">(301) 998-8100 </w:t>
      </w:r>
    </w:p>
    <w:p>
      <w:pPr>
        <w:pStyle w:val="TextBody"/>
        <w:bidi w:val="0"/>
        <w:spacing w:lineRule="auto" w:line="288" w:before="0" w:after="0"/>
        <w:jc w:val="center"/>
        <w:rPr/>
      </w:pPr>
      <w:r>
        <w:rPr>
          <w:rFonts w:ascii="Times New Roman;serif" w:hAnsi="Times New Roman;serif"/>
          <w:b/>
          <w:color w:val="000000"/>
          <w:sz w:val="16"/>
        </w:rPr>
        <w:t>(Registrant’s Telephone Number, Including Area Code)</w:t>
      </w:r>
      <w:r>
        <w:rPr>
          <w:color w:val="000000"/>
        </w:rPr>
        <w:t> </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046"/>
        <w:gridCol w:w="1738"/>
        <w:gridCol w:w="1733"/>
        <w:gridCol w:w="434"/>
        <w:gridCol w:w="434"/>
        <w:gridCol w:w="422"/>
        <w:gridCol w:w="993"/>
        <w:gridCol w:w="993"/>
        <w:gridCol w:w="1412"/>
      </w:tblGrid>
      <w:tr>
        <w:trPr/>
        <w:tc>
          <w:tcPr>
            <w:tcW w:w="204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Federal Realty Investment Trust</w:t>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FRT</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 par value per share, with associated Common Share Purchase Rights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Depositary Shares, each representing 1/1000 of a share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FRT-C</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of 5.00% Series C Cumulative Redeemable Preferred Stock, $.01 par value per share</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43" w:type="dxa"/>
        <w:jc w:val="center"/>
        <w:tblInd w:w="0" w:type="dxa"/>
        <w:tblLayout w:type="fixed"/>
        <w:tblCellMar>
          <w:top w:w="28" w:type="dxa"/>
          <w:left w:w="28" w:type="dxa"/>
          <w:bottom w:w="28" w:type="dxa"/>
          <w:right w:w="28" w:type="dxa"/>
        </w:tblCellMar>
      </w:tblPr>
      <w:tblGrid>
        <w:gridCol w:w="567"/>
        <w:gridCol w:w="496"/>
        <w:gridCol w:w="496"/>
        <w:gridCol w:w="454"/>
        <w:gridCol w:w="454"/>
        <w:gridCol w:w="456"/>
        <w:gridCol w:w="1088"/>
        <w:gridCol w:w="1088"/>
        <w:gridCol w:w="1544"/>
      </w:tblGrid>
      <w:tr>
        <w:trPr/>
        <w:tc>
          <w:tcPr>
            <w:tcW w:w="56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6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Federal Realty OP LP</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Act: None</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a well-known seasoned issuer, as defined in Rule 405 of the Securities Act.</w:t>
      </w:r>
    </w:p>
    <w:p>
      <w:pPr>
        <w:pStyle w:val="TextBody"/>
        <w:bidi w:val="0"/>
        <w:spacing w:lineRule="auto" w:line="288" w:before="60" w:after="283"/>
        <w:jc w:val="left"/>
        <w:rPr/>
      </w:pPr>
      <w:r>
        <w:rPr>
          <w:rFonts w:ascii="Times New Roman;serif" w:hAnsi="Times New Roman;serif"/>
          <w:b w:val="false"/>
          <w:color w:val="000000"/>
          <w:sz w:val="18"/>
        </w:rPr>
        <w:t xml:space="preserve">Federal Realty Investment Trust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0" w:after="0"/>
        <w:jc w:val="left"/>
        <w:rPr/>
      </w:pPr>
      <w:r>
        <w:rPr>
          <w:rFonts w:ascii="Times New Roman;serif" w:hAnsi="Times New Roman;serif"/>
          <w:b w:val="false"/>
          <w:color w:val="000000"/>
          <w:sz w:val="18"/>
        </w:rPr>
        <w:t xml:space="preserve">Federal Realty OP LP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not required to file reports pursuant to Section 13 or Section 15(d) of the Act.</w:t>
      </w:r>
    </w:p>
    <w:p>
      <w:pPr>
        <w:pStyle w:val="TextBody"/>
        <w:bidi w:val="0"/>
        <w:spacing w:lineRule="auto" w:line="288" w:before="60" w:after="283"/>
        <w:jc w:val="left"/>
        <w:rPr/>
      </w:pPr>
      <w:r>
        <w:rPr>
          <w:rFonts w:ascii="Times New Roman;serif" w:hAnsi="Times New Roman;serif"/>
          <w:b w:val="false"/>
          <w:color w:val="000000"/>
          <w:sz w:val="18"/>
        </w:rPr>
        <w:t xml:space="preserve">Federal Realty Investment Trust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 xml:space="preserve">No </w:t>
      </w:r>
    </w:p>
    <w:p>
      <w:pPr>
        <w:pStyle w:val="TextBody"/>
        <w:bidi w:val="0"/>
        <w:spacing w:lineRule="auto" w:line="288" w:before="0" w:after="0"/>
        <w:jc w:val="left"/>
        <w:rPr/>
      </w:pPr>
      <w:r>
        <w:rPr>
          <w:rFonts w:ascii="Times New Roman;serif" w:hAnsi="Times New Roman;serif"/>
          <w:b w:val="false"/>
          <w:color w:val="000000"/>
          <w:sz w:val="18"/>
        </w:rPr>
        <w:t xml:space="preserve">Federal Realty OP LP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 xml:space="preserve">No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left"/>
        <w:rPr/>
      </w:pPr>
      <w:r>
        <w:rPr>
          <w:rFonts w:ascii="Times New Roman;serif" w:hAnsi="Times New Roman;serif"/>
          <w:b w:val="false"/>
          <w:color w:val="000000"/>
          <w:sz w:val="18"/>
        </w:rPr>
        <w:t>Federal Realty Investment Trust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0" w:after="0"/>
        <w:jc w:val="left"/>
        <w:rPr/>
      </w:pPr>
      <w:r>
        <w:rPr>
          <w:rFonts w:ascii="Times New Roman;serif" w:hAnsi="Times New Roman;serif"/>
          <w:b w:val="false"/>
          <w:color w:val="000000"/>
          <w:sz w:val="18"/>
        </w:rPr>
        <w:t>Federal Realty OP LP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60" w:after="283"/>
        <w:jc w:val="left"/>
        <w:rPr/>
      </w:pPr>
      <w:r>
        <w:rPr>
          <w:rFonts w:ascii="Times New Roman;serif" w:hAnsi="Times New Roman;serif"/>
          <w:b w:val="false"/>
          <w:color w:val="000000"/>
          <w:sz w:val="18"/>
        </w:rPr>
        <w:t>Federal Realty Investment Trust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0" w:after="0"/>
        <w:jc w:val="left"/>
        <w:rPr/>
      </w:pPr>
      <w:r>
        <w:rPr>
          <w:rFonts w:ascii="Times New Roman;serif" w:hAnsi="Times New Roman;serif"/>
          <w:b w:val="false"/>
          <w:color w:val="000000"/>
          <w:sz w:val="18"/>
        </w:rPr>
        <w:t>Federal Realty OP LP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320"/>
        <w:gridCol w:w="1139"/>
        <w:gridCol w:w="889"/>
        <w:gridCol w:w="676"/>
        <w:gridCol w:w="676"/>
        <w:gridCol w:w="695"/>
        <w:gridCol w:w="1475"/>
        <w:gridCol w:w="1475"/>
        <w:gridCol w:w="1485"/>
        <w:gridCol w:w="109"/>
        <w:gridCol w:w="109"/>
        <w:gridCol w:w="157"/>
      </w:tblGrid>
      <w:tr>
        <w:trPr/>
        <w:tc>
          <w:tcPr>
            <w:tcW w:w="132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Federal Realty Investment Trust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Federal Realty OP LP</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Realty OP LP</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Realty OP LP</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Realty OP LP</w:t>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w:t>
      </w:r>
    </w:p>
    <w:p>
      <w:pPr>
        <w:pStyle w:val="TextBody"/>
        <w:bidi w:val="0"/>
        <w:spacing w:lineRule="auto" w:line="288" w:before="60" w:after="283"/>
        <w:jc w:val="left"/>
        <w:rPr/>
      </w:pPr>
      <w:r>
        <w:rPr>
          <w:rFonts w:ascii="Times New Roman;serif" w:hAnsi="Times New Roman;serif"/>
          <w:b w:val="false"/>
          <w:color w:val="000000"/>
          <w:sz w:val="18"/>
        </w:rPr>
        <w:t>Federal Realty Investment Trust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0" w:after="0"/>
        <w:jc w:val="left"/>
        <w:rPr/>
      </w:pPr>
      <w:r>
        <w:rPr>
          <w:rFonts w:ascii="Times New Roman;serif" w:hAnsi="Times New Roman;serif"/>
          <w:b w:val="false"/>
          <w:color w:val="000000"/>
          <w:sz w:val="18"/>
        </w:rPr>
        <w:t>Federal Realty OP LP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The aggregate market value of the registrant's common shares held by non-affiliates of the registrant, based upon the closing sales price of the registrant's common shares on June 30, 2025:    </w:t>
      </w:r>
    </w:p>
    <w:p>
      <w:pPr>
        <w:pStyle w:val="TextBody"/>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$8.2 billion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number of Federal Realty Investment Trust's common shares outstanding on February 9, 2026 was 86,276,033.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Portions of Federal Realty Investment Trust’s Proxy Statement to be filed with the Securities and Exchange Commission (the "SEC") for its annual meeting of shareholders to be held in May 2026 will be incorporated by reference into Part III hereof. </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combines the annual reports on Form 10-K for the year ended December 31, 2025,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December 31, 2025, the Parent Company owned 100% of the outstanding partnership units (the "OP Units") in the Operating Partnership.</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combining the annual reports on Form 10-K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 partner capital, and non-controlling interests are the primary areas of difference between the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FISCAL YEAR ENDED DECEMBER 31, 2025</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981" w:type="dxa"/>
        <w:jc w:val="center"/>
        <w:tblInd w:w="0" w:type="dxa"/>
        <w:tblLayout w:type="fixed"/>
        <w:tblCellMar>
          <w:top w:w="28" w:type="dxa"/>
          <w:left w:w="28" w:type="dxa"/>
          <w:bottom w:w="28" w:type="dxa"/>
          <w:right w:w="28" w:type="dxa"/>
        </w:tblCellMar>
      </w:tblPr>
      <w:tblGrid>
        <w:gridCol w:w="314"/>
        <w:gridCol w:w="275"/>
        <w:gridCol w:w="275"/>
        <w:gridCol w:w="2909"/>
        <w:gridCol w:w="2909"/>
        <w:gridCol w:w="2927"/>
        <w:gridCol w:w="109"/>
        <w:gridCol w:w="109"/>
        <w:gridCol w:w="154"/>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16">
              <w:r>
                <w:rPr>
                  <w:rStyle w:val="InternetLink"/>
                  <w:rFonts w:ascii="Times New Roman;serif" w:hAnsi="Times New Roman;serif"/>
                  <w:b w:val="false"/>
                  <w:color w:val="0000FF"/>
                  <w:sz w:val="20"/>
                  <w:u w:val="single"/>
                </w:rPr>
                <w:t>3</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19">
              <w:r>
                <w:rPr>
                  <w:rStyle w:val="InternetLink"/>
                  <w:rFonts w:ascii="Times New Roman;serif" w:hAnsi="Times New Roman;serif"/>
                  <w:b w:val="false"/>
                  <w:color w:val="0000FF"/>
                  <w:sz w:val="20"/>
                  <w:u w:val="single"/>
                </w:rPr>
                <w:t>8</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22">
              <w:r>
                <w:rPr>
                  <w:rStyle w:val="InternetLink"/>
                  <w:rFonts w:ascii="Times New Roman;serif" w:hAnsi="Times New Roman;serif"/>
                  <w:b w:val="false"/>
                  <w:color w:val="0000FF"/>
                  <w:sz w:val="20"/>
                  <w:u w:val="single"/>
                </w:rPr>
                <w:t>19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Security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25">
              <w:r>
                <w:rPr>
                  <w:rStyle w:val="InternetLink"/>
                  <w:rFonts w:ascii="Times New Roman;serif" w:hAnsi="Times New Roman;serif"/>
                  <w:b w:val="false"/>
                  <w:color w:val="0000FF"/>
                  <w:sz w:val="20"/>
                  <w:u w:val="single"/>
                </w:rPr>
                <w:t>19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28">
              <w:r>
                <w:rPr>
                  <w:rStyle w:val="InternetLink"/>
                  <w:rFonts w:ascii="Times New Roman;serif" w:hAnsi="Times New Roman;serif"/>
                  <w:b w:val="false"/>
                  <w:color w:val="0000FF"/>
                  <w:sz w:val="20"/>
                  <w:u w:val="single"/>
                </w:rPr>
                <w:t>19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31">
              <w:r>
                <w:rPr>
                  <w:rStyle w:val="InternetLink"/>
                  <w:rFonts w:ascii="Times New Roman;serif" w:hAnsi="Times New Roman;serif"/>
                  <w:b w:val="false"/>
                  <w:color w:val="0000FF"/>
                  <w:sz w:val="20"/>
                  <w:u w:val="single"/>
                </w:rPr>
                <w:t>28</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34">
              <w:r>
                <w:rPr>
                  <w:rStyle w:val="InternetLink"/>
                  <w:rFonts w:ascii="Times New Roman;serif" w:hAnsi="Times New Roman;serif"/>
                  <w:b w:val="false"/>
                  <w:color w:val="0000FF"/>
                  <w:sz w:val="20"/>
                  <w:u w:val="single"/>
                </w:rPr>
                <w:t>28</w:t>
              </w:r>
            </w:hyperlink>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for Our Common Equity and Related Shareholder Matters and Issuer Purchases of Equity Securities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40">
              <w:r>
                <w:rPr>
                  <w:rStyle w:val="InternetLink"/>
                  <w:rFonts w:ascii="Times New Roman;serif" w:hAnsi="Times New Roman;serif"/>
                  <w:b w:val="false"/>
                  <w:color w:val="0000FF"/>
                  <w:sz w:val="20"/>
                  <w:u w:val="single"/>
                </w:rPr>
                <w:t>29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43">
              <w:r>
                <w:rPr>
                  <w:rStyle w:val="InternetLink"/>
                  <w:rFonts w:ascii="Times New Roman;serif" w:hAnsi="Times New Roman;serif"/>
                  <w:b w:val="false"/>
                  <w:color w:val="0000FF"/>
                  <w:sz w:val="20"/>
                  <w:u w:val="single"/>
                </w:rPr>
                <w:t>31</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46">
              <w:r>
                <w:rPr>
                  <w:rStyle w:val="InternetLink"/>
                  <w:rFonts w:ascii="Times New Roman;serif" w:hAnsi="Times New Roman;serif"/>
                  <w:b w:val="false"/>
                  <w:color w:val="0000FF"/>
                  <w:sz w:val="20"/>
                  <w:u w:val="single"/>
                </w:rPr>
                <w:t>31</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55">
              <w:r>
                <w:rPr>
                  <w:rStyle w:val="InternetLink"/>
                  <w:rFonts w:ascii="Times New Roman;serif" w:hAnsi="Times New Roman;serif"/>
                  <w:b w:val="false"/>
                  <w:color w:val="0000FF"/>
                  <w:sz w:val="20"/>
                  <w:u w:val="single"/>
                </w:rPr>
                <w:t>47</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58">
              <w:r>
                <w:rPr>
                  <w:rStyle w:val="InternetLink"/>
                  <w:rFonts w:ascii="Times New Roman;serif" w:hAnsi="Times New Roman;serif"/>
                  <w:b w:val="false"/>
                  <w:color w:val="0000FF"/>
                  <w:sz w:val="20"/>
                  <w:u w:val="single"/>
                </w:rPr>
                <w:t>48</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61">
              <w:r>
                <w:rPr>
                  <w:rStyle w:val="InternetLink"/>
                  <w:rFonts w:ascii="Times New Roman;serif" w:hAnsi="Times New Roman;serif"/>
                  <w:b w:val="false"/>
                  <w:color w:val="0000FF"/>
                  <w:sz w:val="20"/>
                  <w:u w:val="single"/>
                </w:rPr>
                <w:t>48</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64">
              <w:r>
                <w:rPr>
                  <w:rStyle w:val="InternetLink"/>
                  <w:rFonts w:ascii="Times New Roman;serif" w:hAnsi="Times New Roman;serif"/>
                  <w:b w:val="false"/>
                  <w:color w:val="0000FF"/>
                  <w:sz w:val="20"/>
                  <w:u w:val="single"/>
                </w:rPr>
                <w:t>48</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67">
              <w:r>
                <w:rPr>
                  <w:rStyle w:val="InternetLink"/>
                  <w:rFonts w:ascii="Times New Roman;serif" w:hAnsi="Times New Roman;serif"/>
                  <w:b w:val="false"/>
                  <w:color w:val="0000FF"/>
                  <w:sz w:val="20"/>
                  <w:u w:val="single"/>
                </w:rPr>
                <w:t>49</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9C.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73">
              <w:r>
                <w:rPr>
                  <w:rStyle w:val="InternetLink"/>
                  <w:rFonts w:ascii="Times New Roman;serif" w:hAnsi="Times New Roman;serif"/>
                  <w:b w:val="false"/>
                  <w:color w:val="0000FF"/>
                  <w:sz w:val="20"/>
                  <w:u w:val="single"/>
                </w:rPr>
                <w:t>48</w:t>
              </w:r>
            </w:hyperlink>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III</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Trustees, Executive Officers and Corporate Governance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79">
              <w:r>
                <w:rPr>
                  <w:rStyle w:val="InternetLink"/>
                  <w:rFonts w:ascii="Times New Roman;serif" w:hAnsi="Times New Roman;serif"/>
                  <w:b w:val="false"/>
                  <w:color w:val="0000FF"/>
                  <w:sz w:val="20"/>
                  <w:u w:val="single"/>
                </w:rPr>
                <w:t>51</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82">
              <w:r>
                <w:rPr>
                  <w:rStyle w:val="InternetLink"/>
                  <w:rFonts w:ascii="Times New Roman;serif" w:hAnsi="Times New Roman;serif"/>
                  <w:b w:val="false"/>
                  <w:color w:val="0000FF"/>
                  <w:sz w:val="20"/>
                  <w:u w:val="single"/>
                </w:rPr>
                <w:t>51</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Shareholder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85">
              <w:r>
                <w:rPr>
                  <w:rStyle w:val="InternetLink"/>
                  <w:rFonts w:ascii="Times New Roman;serif" w:hAnsi="Times New Roman;serif"/>
                  <w:b w:val="false"/>
                  <w:color w:val="0000FF"/>
                  <w:sz w:val="20"/>
                  <w:u w:val="single"/>
                </w:rPr>
                <w:t>51</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Trustee Independence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88">
              <w:r>
                <w:rPr>
                  <w:rStyle w:val="InternetLink"/>
                  <w:rFonts w:ascii="Times New Roman;serif" w:hAnsi="Times New Roman;serif"/>
                  <w:b w:val="false"/>
                  <w:color w:val="0000FF"/>
                  <w:sz w:val="20"/>
                  <w:u w:val="single"/>
                </w:rPr>
                <w:t>51</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Accountant Fees and Services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91">
              <w:r>
                <w:rPr>
                  <w:rStyle w:val="InternetLink"/>
                  <w:rFonts w:ascii="Times New Roman;serif" w:hAnsi="Times New Roman;serif"/>
                  <w:b w:val="false"/>
                  <w:color w:val="0000FF"/>
                  <w:sz w:val="20"/>
                  <w:u w:val="single"/>
                </w:rPr>
                <w:t>51</w:t>
              </w:r>
            </w:hyperlink>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IV</w:t>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97">
              <w:r>
                <w:rPr>
                  <w:rStyle w:val="InternetLink"/>
                  <w:rFonts w:ascii="Times New Roman;serif" w:hAnsi="Times New Roman;serif"/>
                  <w:b w:val="false"/>
                  <w:color w:val="0000FF"/>
                  <w:sz w:val="20"/>
                  <w:u w:val="single"/>
                </w:rPr>
                <w:t>51</w:t>
              </w:r>
            </w:hyperlink>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103">
              <w:r>
                <w:rPr>
                  <w:rStyle w:val="InternetLink"/>
                  <w:rFonts w:ascii="Times New Roman;serif" w:hAnsi="Times New Roman;serif"/>
                  <w:b w:val="false"/>
                  <w:color w:val="0000FF"/>
                  <w:sz w:val="20"/>
                  <w:u w:val="single"/>
                </w:rPr>
                <w:t>55</w:t>
              </w:r>
            </w:hyperlink>
          </w:p>
        </w:tc>
      </w:tr>
      <w:tr>
        <w:trPr/>
        <w:tc>
          <w:tcPr>
            <w:tcW w:w="96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32e083c0594d729405270ebbf0218e_106">
              <w:r>
                <w:rPr>
                  <w:rStyle w:val="InternetLink"/>
                  <w:rFonts w:ascii="Times New Roman;serif" w:hAnsi="Times New Roman;serif"/>
                  <w:b w:val="false"/>
                  <w:color w:val="0000FF"/>
                  <w:sz w:val="20"/>
                  <w:u w:val="single"/>
                </w:rPr>
                <w:t>56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statements included in this Annual Report on Form 10-K are forward-looking statements. Those statements include statements regarding the intent, belief or current expectations of Federal Realty Investment Trust and Federal Realty OP LP (together,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describe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 of, is sole member of, and exercises exclusive control over Federal Realty GP LLC (the "General Partner"), which in turn, is the sole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These properties are located primarily in major coastal markets and select underserved markets that we believe have strong economic and demographic fundamentals. As of December 31, 2025, we owned or had a majority interest in community and neighborhood shopping centers and mixed-use properties which are operated as 104 predominantly retail real estate projects comprising approximately 28.8 million commercial square feet. In total, the real estate projects were 96.1% leased and 94.1% occupied at December 31, 2025. Our revenue is primarily generated from lease agreements with tenants. We have paid quarterly dividends to our shareholders continuously since our founding in 1962 and have increased our dividends per common share for 58 consecutive years.</w:t>
      </w:r>
    </w:p>
    <w:p>
      <w:pPr>
        <w:pStyle w:val="TextBody"/>
        <w:bidi w:val="0"/>
        <w:spacing w:lineRule="auto" w:line="288" w:before="180" w:after="283"/>
        <w:jc w:val="left"/>
        <w:rPr/>
      </w:pPr>
      <w:r>
        <w:rPr>
          <w:rFonts w:ascii="Times New Roman;serif" w:hAnsi="Times New Roman;serif"/>
          <w:b w:val="false"/>
          <w:color w:val="000000"/>
          <w:sz w:val="20"/>
        </w:rPr>
        <w:t xml:space="preserve">We were founded in 1962 as a REIT under the laws of the District of Columbia and re-formed as a REIT in the state of Maryland in 1999. In January of 2022, we consummated the UPREIT reorganization described in the Explanatory Note at the beginning of this Annual Report. We operate in a manner intended to qualify as a REIT for tax purposes pursuant to provisions of the Internal Revenue Code of 1986, as amended (the “Code”). Our principal executive offices are located at 909 Rose Avenue, North Bethesda, Maryland 20852. Our telephone number is (301) 998-8100. Our website address is </w:t>
      </w:r>
      <w:r>
        <w:rPr>
          <w:rFonts w:ascii="Times New Roman;serif" w:hAnsi="Times New Roman;serif"/>
          <w:b w:val="false"/>
          <w:i/>
          <w:color w:val="000000"/>
          <w:sz w:val="20"/>
        </w:rPr>
        <w:t>www.federalrealty.com</w:t>
      </w:r>
      <w:r>
        <w:rPr>
          <w:rFonts w:ascii="Times New Roman;serif" w:hAnsi="Times New Roman;serif"/>
          <w:b w:val="false"/>
          <w:color w:val="000000"/>
          <w:sz w:val="20"/>
        </w:rPr>
        <w:t>. The information contained on our website is not a part of this report and is not incorporated herein by reference.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Business Objectives and Strategies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primary business objective is to own, manage, acquire and redevelop a portfolio of high quality retail focused properties that will: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increasing cash flow for distribution to shareholders;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generate higher internal growth than the shopping center industry over the long term;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potential for capital appreciation;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protect investor capital.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residential and office components.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Operating Strategies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continuously evaluate and assess our operating strategies to ensure they are effective and put us in the best position to address changes in the market. We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generally enabled us to maintain higher occupancy rates, charge higher rental rates, and maintain steady rent growth, all of which increase the value of our portfolio. Our operating strategies also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increasing rental rates through the negotiation of contractual rental increases during the term of the lease, the renewal of expiring leases or the leasing of space to new tenants at higher rental rates while limiting vacancy and down-time;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maintaining a diversified tenant base, thereby limiting exposure to any one tenant’s financial or operating difficulties;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actively managing the merchandising mix of our tenant base to achieve a balance of strong national and regional tenants with local specialty tenants;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minimizing overhead and operating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actively managing the physical appearance of our properties and the construction quality, condition and design of the buildings and other improvements located on our properties to maximize our ability to attract customers and thereby generate higher rents and occupancy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managing our properties to take into account their impact on climate change and their resilience in the face of climate 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developing local and regional market expertise in order to capitalize on market and retailing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leveraging the contacts and experience of our management team to build and maintain long-term relationships with tenants;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exceptional customer service;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creating an experience at many of our properties that is identifiable, unique and serves the surrounding communities to help insulate these properties and the tenants at these properties from the impact of on-line retailing.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Strategies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renovating, expanding, reconfiguring and/or retenanting our existing properties to take advantage of under-utilized land or existing square footage to increase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renovating or expanding tenant spaces for tenants capable of producing higher sales, and therefore, paying higher rents;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developing the retail portions of mixed-use properties and developing or otherwise investing in non-retail portions of mixed-use properties we already own in order to capitalize on the overall value created in these properties.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Investment Criteria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When we evaluate potential redevelopment, retenanting, expansion, acquisition and development opportunities, we consider such factors as: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expected returns in relation to our short and long-term cost of capital as well as the anticipated risk we will face in achieving the expected returns;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anticipated growth rate of operating income generated by the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to increase the long-term value of the property through redevelopment and retenanting;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tenant mix at the property, tenant sales performance and the creditworthiness of those tenants;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geographic area in which the property is located, including the population density, household incomes, education levels, as well as the population and income trends in that geographic area. This may from time to time include the evaluation of new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conditions in the vicinity of the property, including gross leasable area (GLA) per capita, competition for tenants and the ability of others to create competing properties through redevelopment, new construction or renovation;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access to and visibility of the property from existing roadways and the potential for new, widened or realigned, roadways within the property’s trade area, which may affect access and commuting and shopping patterns;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and success of our existing investments in the market area;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current market value of the land, buildings and other improvements and the potential for increasing those market values;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physical condition of the land, buildings and other improvements, including the structural and environmental condition.</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Financing Strategies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maintaining a prudent level of overall leverage and an appropriate pool of unencumbered properties that is sufficient to support our unsecured borrowings;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managing our exposure to variable-rate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maintaining sufficient levels of cash and available line of credit to fund operating and investing needs on a short-term basis;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taking advantage of market opportunities to refinance existing debt, reduce interest costs and manage our debt maturity schedule so that a significant portion of our debt relative to our size does not mature in any one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selling properties that have limited growth potential or are not a strategic fit within our overall portfolio and redeploying the proceeds to redevelop, renovate, retenant and/or expand our existing properties, acquire new properties or reduce debt;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utilizing the most advantageous long-term source of capital available to us to finance redevelopment and acquisition opportunities, which may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sale of our equity or debt securities through public offerings, including our at-the-market ("ATM") equity program in which we may from time to time offer and sell common shares including through forward sales contracts, or private placements,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incurrence of indebtedness through unsecured or secured borrowings including exchangeable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issuance of units in our operating partnership (generally issued in exchange for a tax deferred contribution of property); these units typically receive the same distributions as our common shares and the holders of these units have the right to exchange their units for cash or common shares at our option,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use of joint venture arrangements.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February 9, 2026, we had 314 full-time employees and 6 part-time employees. None of our employees are represented by a collective bargaining unit. We believe that our relationship with our employees is good. We are an Equal Opportunity/Affirmative Action employer, and strive to maintain a workplace that is free from discrimination on the basis of race, color, religion, age, sex, national origin, disability status, genetics, protected veteran status, sexual orientation, and gender identity or expression.</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Health, Safety, and Wellness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the health, safety, and wellness of our employees, and foster an environment that allows our people to succeed while balancing work and life. We provide our employees with access to health and wellness programs, which includes benefits that support both physical and mental health. We have also transitioned to a hybrid work model.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provide competitive pay and benefits including health, dental, vision, short and long-term disability, life insurance and a 401(k) retirement program, as well as a generous paid time off program that includes vacation, sick, and personal leave. In addition to our equity awards program, we also reward employees with spot bonuses for stellar performance or going above and beyond the base requirements of their job description.</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Talent Development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Employees have access to a variety of different training courses, books, book summaries and audio books, and an array of source materials covering a myriad of different business and soft skills training subjects. Additionally, we provide reimbursement for tuition and professional licenses.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Community Involvement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Giving back to the community is an integral part of who we are and what we do. We provide ample ways to give back through programs at our properties or charitable endeavors and volunteer opportunities that also serve as team building exercises for our employees.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Tax Status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2017,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General Economic Conditions </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uncertainty continues within the macro-economic environment including inflation risk, changes in interest rates, new or higher tariffs and their impact on trade and prices, increases or decreases in federal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economic environment. The extent of the future effects on our business, results of operations, cash flows, and growth strategies is highly uncertain and will ultimately depend on future developments, none of which can be predicted.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Governmental Regulations Affecting Our 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and our properties are subject to a variety of federal, state and local environmental, health, safety and similar laws. Please see Item 1A. "Risk Factors - Risk Factors Related to our REIT Status and Other Laws and Regulations" for further discussion of potential material effects of our compliance with government regulation, including environmental regulations and the rules governing REITs.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we, as the owner or operator of properties currently or previously owned, may be required to investigate and clean up certain hazardous or toxic substances, asbestos-containing materials, or petroleum product releases at the property, we may be held liable for property damage and for investigation and clean up costs incurred in connection with the contamination, and we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Energy and Emissions Regulations Affecting Our Properties</w:t>
      </w:r>
    </w:p>
    <w:p>
      <w:pPr>
        <w:pStyle w:val="TextBody"/>
        <w:bidi w:val="0"/>
        <w:spacing w:lineRule="auto" w:line="276" w:before="100" w:after="283"/>
        <w:jc w:val="left"/>
        <w:rPr/>
      </w:pPr>
      <w:r>
        <w:rPr>
          <w:rFonts w:ascii="Times New Roman;serif" w:hAnsi="Times New Roman;serif"/>
          <w:b w:val="false"/>
          <w:color w:val="000000"/>
          <w:sz w:val="20"/>
        </w:rPr>
        <w:t>Some jurisdictions in which we own property have enacted or may enact legislation that requires use of only certain types of energy sources, limits energy usage on site, or limits allowable emissions from buildings with fines or other costs being imposed for exceeding those limits.</w:t>
      </w:r>
      <w:r>
        <w:rPr>
          <w:color w:val="000000"/>
        </w:rPr>
        <w:t xml:space="preserve"> </w:t>
      </w:r>
      <w:r>
        <w:rPr>
          <w:rFonts w:ascii="Times New Roman;serif" w:hAnsi="Times New Roman;serif"/>
          <w:b w:val="false"/>
          <w:color w:val="000000"/>
          <w:sz w:val="20"/>
        </w:rPr>
        <w:t>This type of legislation typically includes an extended period of time from adoption to implementation to allow property owners ample opportunity to make investments and take other actions to comply with the legislation.</w:t>
      </w:r>
      <w:r>
        <w:rPr>
          <w:color w:val="000000"/>
        </w:rPr>
        <w:t xml:space="preserve"> </w:t>
      </w:r>
      <w:r>
        <w:rPr>
          <w:rFonts w:ascii="Times New Roman;serif" w:hAnsi="Times New Roman;serif"/>
          <w:b w:val="false"/>
          <w:color w:val="000000"/>
          <w:sz w:val="20"/>
        </w:rPr>
        <w:t>Any investments we believe we will need to make to comply with laws that have been passed to date are being included as part of our ordinary capital improvement planning process for our properties.</w:t>
      </w:r>
      <w:r>
        <w:rPr>
          <w:color w:val="000000"/>
        </w:rPr>
        <w:t xml:space="preserve"> </w:t>
      </w:r>
      <w:r>
        <w:rPr>
          <w:rFonts w:ascii="Times New Roman;serif" w:hAnsi="Times New Roman;serif"/>
          <w:b w:val="false"/>
          <w:color w:val="000000"/>
          <w:sz w:val="20"/>
        </w:rPr>
        <w:t>We also address the potential effects of these types of laws in our energy reduction and energy efficient efforts that are described in more detail in Item 7. "Management's Discussion and Analysis of Financial Condition and Results of Operations - Corporate Responsibility."</w:t>
      </w:r>
      <w:r>
        <w:rPr>
          <w:color w:val="000000"/>
        </w:rPr>
        <w:t xml:space="preserve"> </w:t>
      </w:r>
      <w:r>
        <w:rPr>
          <w:rFonts w:ascii="Times New Roman;serif" w:hAnsi="Times New Roman;serif"/>
          <w:b w:val="false"/>
          <w:color w:val="000000"/>
          <w:sz w:val="20"/>
        </w:rPr>
        <w:t>These types of laws have not had a material adverse effect on our financial condition or results of operations and management does not believe they will have a material adverse effect in the future.</w:t>
      </w:r>
      <w:r>
        <w:rPr>
          <w:color w:val="000000"/>
        </w:rPr>
        <w:t xml:space="preserve"> </w:t>
      </w:r>
      <w:r>
        <w:rPr>
          <w:rFonts w:ascii="Times New Roman;serif" w:hAnsi="Times New Roman;serif"/>
          <w:b w:val="false"/>
          <w:color w:val="000000"/>
          <w:sz w:val="20"/>
        </w:rPr>
        <w:t>We cannot, however, predict the impact of new or changed laws or regulations on properties we currently own or may acquire in the future.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the number of properties available for acquisition;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the cost of properties available for acquisition;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interfere with our ability to attract and retain tenants, leading to increased vacancy rates and/or reduced rents;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adversely affect our ability to minimize expenses of operation.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00" w:after="283"/>
        <w:jc w:val="left"/>
        <w:rPr/>
      </w:pPr>
      <w:r>
        <w:rPr>
          <w:rFonts w:ascii="Times New Roman;serif" w:hAnsi="Times New Roman;serif"/>
          <w:b w:val="false"/>
          <w:color w:val="000000"/>
          <w:sz w:val="20"/>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Times New Roman;serif" w:hAnsi="Times New Roman;serif"/>
          <w:b w:val="false"/>
          <w:i/>
          <w:color w:val="000000"/>
          <w:sz w:val="20"/>
        </w:rPr>
        <w:t>www.federalrealty.com</w:t>
      </w:r>
      <w:r>
        <w:rPr>
          <w:color w:val="000000"/>
        </w:rPr>
        <w:t xml:space="preserve"> </w:t>
      </w:r>
      <w:r>
        <w:rPr>
          <w:rFonts w:ascii="Times New Roman;serif" w:hAnsi="Times New Roman;serif"/>
          <w:b w:val="false"/>
          <w:color w:val="000000"/>
          <w:sz w:val="20"/>
        </w:rPr>
        <w:t>as soon as reasonably practicable after we electronically file the material with, or furnish the material to, the Securities and Exchange Commission, or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Corporate Governance Guidelines, Code of Business Conduct, Code of Ethics applicable to our Chief Executive Officer and senior financial officers, Whistleblower Policy, organizational documents and the charters of our audit committee, compensation and human capital committee and nominating and corporate governance committee are all available in the Corporate Governance section of the Investors section of our website.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Amendments to the Code of Ethics or Code of Business Conduct or waivers that apply to any of our executive officers or our senior financial officers will be disclosed in the Corporate Governance section of our website as well.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pStyle w:val="TextBody"/>
        <w:bidi w:val="0"/>
        <w:spacing w:lineRule="auto" w:line="288" w:before="280" w:after="283"/>
        <w:jc w:val="left"/>
        <w:rPr>
          <w:rFonts w:ascii="Times New Roman;serif" w:hAnsi="Times New Roman;serif"/>
          <w:b/>
          <w:color w:val="000000"/>
          <w:sz w:val="20"/>
          <w:u w:val="single"/>
        </w:rPr>
      </w:pPr>
      <w:r>
        <w:rPr>
          <w:rFonts w:ascii="Times New Roman;serif" w:hAnsi="Times New Roman;serif"/>
          <w:b/>
          <w:color w:val="000000"/>
          <w:sz w:val="20"/>
          <w:u w:val="single"/>
        </w:rPr>
        <w:t>Risk Factors Related to our Real Estate Investments and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Revenue from our properties may be reduced or limited if the retail operations of our tenants are not successful.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such as impacts from higher tariffs, changing interest rates, the cost and availability of labor, and changes in federal government spending,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Our net income depends on the success and continued presence of our “anchor” tenants.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If we were to experience high levels of anchor turnover and closings, an oversupply of larger retail spaces could result and we may see an increase in vacancy, and/or a decrease in rents for those spaces, which could have a negative impact to our net income. As of December 31, 2025, our anchor tenant space is 97.3% leased and 95.5% occupied.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shift in retail shopping from brick and mortar stores to online shopping may have an adverse impact on our cash flow, financial condition and results of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have properties that are geographically concentrated, and adverse economic or real estate market declines in these areas could have a material adverse effect on us.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our tenants operated in 14 states and the District of Columbia. Any adverse situation that disproportionately affects the the markets where our properties are concentrated may have a magnified adverse effect on our portfolio. Refer to “Properties” (Item 2 of this Annual Report on Form 10-K) for additional discussion of the geographic concentration. Real estate markets are subject to economic downturns, as they have been in the past, and we cannot predict how economic conditions will impact this market in both the short and long term.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Declines in the economy or a decline in the real estate market in these states could hurt our financial performance and the value of our properties. Factors that may negatively affect economic conditions in these states include: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business or government layoffs or downsizing;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industry slowdowns;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elevated levels of inflation over an extended period of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increasing interest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introduction of new or higher tariffs;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decrease in federal government spending;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business restrictions due to health crises;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relocations of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changing demographics;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telecommuting and use of alternative work places;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infrastructure quality;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oversupply of, or reduced demand for, real estate;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concessions or reduced rental rates under new leases for properties where tenants defaulted;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operating costs including insurance premiums and real estate taxes.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We may be unable to collect balances due from tenants that file for bankruptcy protection.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We may experience difficulty or delay in renewing leases or re-leasing space.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Our development activities have inherent risks.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ground-up development of improvements on real property, as opposed to the renovation and redevelopment of existing improvements, presents substantial risks. We generally do not look to acquire raw land for future development; however, we do intend to develop and construct additional buildings on projects we already own in order to maximize the value of our real estate.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any new projects are not successful, it may adversely affect our financial condition and results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risks associated with real estate investment in general, as described elsewhere and the specific risks above, the risks associated with our remaining development activities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contractor changes may delay the completion of development projects and increase overall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time lag between commencement and stabilization subjects us to greater risks due to fluctuations in the general economy;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delivery of residential product into uncertain residential environments may result in lower rents or longer time periods to reach economic stabilization;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substantial amount of our investment is related to infrastructure and the overall value of the project may be negatively impacted if we do not complete subsequent phases;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or inability to obtain construction or permanent financing on favorable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expenditure of money and time on projects that may never be completed;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securing key anchor or other tenants may impact occupancy rates and projected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achieve projected rental rates or anticipated pace of lease-up;</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higher than estimated construction or operating costs, including labor and material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delay in completion of a project because of a number of factors, including public health crises (such as worldwide pandemics), supply chain disruptions and shortages, inflation, climate change and weather, labor disruptions, construction delays or delays in receipt of zoning or other regulatory approvals, acts of terror or other acts of violence, or acts of God (such as fires, earthquakes or floods).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Redevelopments and acquisitions may fail to perform as expected.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identify suitable properties to acquire or may be unable to complete the acquisition of the properties we identify;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integrate an acquisition into our existing operations successfully;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properties we redevelop or acquire may fail to achieve the occupancy or rental rates we project, within the time frames we project, at the time we make the decision to invest, which may result in the properties’ failure to achieve the returns we projected;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Our performance and value are subject to general risks associated with the real estate industry.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downturns in general, or in the areas where our properties are located;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changes in local real estate market conditions, such as an oversupply or reduction in demand;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tenant preferences that reduce the attractiveness of our properties to tenants;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zoning or regulatory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decreases in market rental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weather conditions that may increase or decrease energy costs and other weather-related expenses;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associated with the need to periodically repair, renovate and re-lease space;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Each of these risks could result in decreases in market rental rates and increases in vacancy rates, which could adversely affect our financial condition and results of operation.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Many real estate costs are fixed, even if income from our properties decreases.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Competition may limit our ability to purchase new properties and generate sufficient income from tenants.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Numerous commercial developers and real estate companies compete with us in seeking tenants for our existing properties and properties for acquisition. This competition may: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properties available for acquisition;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the cost of properties available for acquisition;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rents payable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interfere with our ability to attract and retain tenants;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lead to increased vacancy rates at our properties;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adversely affect our ability to minimize expenses of operation.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We may be unable to sell properties when appropriate because real estate investments are illiquid.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We may have limited flexibility in dealing with our jointly owned investments.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organizational documents do not limit the amount of funds that we may invest in properties and assets owned jointly with other persons or entities. As of December 31, 2025, we held 18 predominantly retail real estate projects jointly with other persons in addition to properties owned in a “downREIT” structure. Additionally, as of December 31, 2025, we owned an interest in the hotel component of Assembly Row.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2025, we held the controlling interests in all of our existing co-investments (except the hotel investment discussed above and the investments in the La Alameda, Chandler Festival, and Chandler Gateway shopping centers),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Our insurance coverage on our properties may be inadequate.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pandemics, and toxic mold, or, if offered, the expense of obtaining these types of insurance may not be justified. We therefore may cease to have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Natural disasters, climate change and health crises, could have an adverse impact on our cash flow and operating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Climate change may add to the unpredictability and frequency of natural disasters and severe weather conditions, impact the availability of natural resources,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impact the availability of water and other natural resources,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our business is subject to risks related to the effects of public health crises, epidemics, and pandemics. Such events could: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inhibit global, national and local economic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drive inflation, adversely affect trading activity in securities markets, which could negatively impact the trading prices of our common shares and debt securities and our ability to access the securities markets as a source of liquidity;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adversely affect our tenants’ financial condition by limiting foot traffic and staffing at their businesses, which could affect their ability to pay rent and willingness to make new leasing commitments;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our cash flow, which could impact our ability to pay dividends at the current rate and in the current format or at all or to service our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temporarily or permanently reduce the demand for retail or office space;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interfere with our business operations by requiring our personnel to work remotely;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the frequency of cyber-attacks;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 supply chains that could be important in our development and redevelopment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result in labor shortages;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interfere with potential purchases and sales of properties;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impact our ability to pay dividends at the current rate and in the current format or at all;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have other direct and indirect effects that are difficult to predict.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impact of stay-at-home and other government orders instituted in response to a public health concern, which may vary by jurisdiction, or a public health concerns' short and long term economic effects, each of which could have a material adverse effect on our business</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color w:val="000000"/>
          <w:sz w:val="20"/>
          <w:u w:val="single"/>
        </w:rPr>
      </w:pPr>
      <w:r>
        <w:rPr>
          <w:rFonts w:ascii="Times New Roman;serif" w:hAnsi="Times New Roman;serif"/>
          <w:b/>
          <w:color w:val="000000"/>
          <w:sz w:val="20"/>
          <w:u w:val="single"/>
        </w:rPr>
        <w:t>Risk Factors Related to our Funding Strategies and Capital Structure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The amount of debt we have and the restrictions imposed by that debt could adversely affect our business and financial condition.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$5.0 billion of debt outstanding. Of that outstanding debt, approximately $523.2 million was secured by all or a portion of 8 of our real estate projects. As of December 31, 2025, approximately 82.6% of our debt is fixed rate or is fixed via interest rate swap agreements. Our organizational documents do not limit the level or amount of debt that we may incur. The amount of our debt outstanding from time to time could have important consequences to our shareholders. For example, it could: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ability to make distributions on our outstanding common shares and preferred shares;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 it difficult to satisfy our debt service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dedicate increased amounts of our cash flow from operations to payments on debt upon refinancing or on our variable rate, unhedged debt, if interest rates rise;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the factors that affect the profitability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flexibility in conducting our business, which may place us at a disadvantage compared to competitors with less debt or debt with less restrictive terms.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unsecured term loans, and certain series of notes include financial covenants that may limit our operating activities in the future. We are also required to comply with additional covenants that include, among other things, provisions: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relating to the maintenance of property securing a mortgage;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restricting our ability to pledge assets or create liens;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restricting our ability to incur additional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restricting our ability to amend or modify existing leases at properties securing a mortgage;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restricting our ability to enter into transactions with affiliates;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restricting our ability to consolidate, merge or sell all or substantially all of our assets.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Adverse changes in our credit rating could affect our borrowing capacity and borrowing terms.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Our ability to grow will be limited if we cannot obtain additional capital.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growth strategy is focused on the development and redevelopment of properties we already own and the acquisition of additional properties. We believe that it will be difficult to fund our expected growth with cash from operating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Rising interest rates could adversely affect our cash flow and the market price of our outstanding debt and preferred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Of our $5.0 billion of debt outstanding as of December 31, 2025, approximately $1.4 billion bears interest at a variable rate. We have entered into interest rate swaps on $500.6 million of this variable rate debt to effectively fix the rate and limit our exposure to variable rates. We have a $1.25 billion revolving credit facility, which bears interest at SOFR plus 77.5 basis points, of which $310.0 million was outstanding at December 31, 2025, and we have a $250.0 million term loan that bears interest at SOFR plus 85 basis points, of which no amount was outstanding at December 31, 2025.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Hedging activity may expose us to risks, including the risks that a counterparty will not perform and that the hedge will not yield the economic benefits we anticipate, which may adversely affect us.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These and similar hedging arrangements involve risks, including the risks that counterparties may fail to honor their obligations under these arrangements, that these arrangements may not be effective in reducing our exposure to interest rate changes, that the amount of income we earn from hedging transactions may be limited by federal tax provisions governing REITs, and that these arrangements may reduce the benefits to us if interest rates decline. Developing and implementing an interest rate risk strategy is complex, and there can be no assurance that our hedging activities will be completely effective at insulating us from risks associated with interest rate fluctuations.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Additionally, in connection with our offering in January 2024 of 3.25% Exchangeable Senior Notes due 2029, we have entered into capped call transactions with certain option counterparties. The capped call transactions cover, subject to customary adjustments, the number of common shares initially underlying the notes. The capped call transactions are expected generally to reduce the potential dilution to our common shares upon any exchange of notes and/or offset any cash payments we are required to make in excess of the principal amount of exchanged notes, as the case may be, with such reduction and/or offset subject to a cap. The option counterparties are financial institutions, and we are subject to the risk that any or all of them might default under the capped call transactions. Our exposure to the credit risk of the option counterparties is not secured by any collateral. Global economic conditions have resulted in the actual or perceived failure or financial difficulties of certain financial institutions and could adversely impact the option counterparties’ performance under the capped call transactions. If an option counterparty becomes subject to insolvency proceedings, we will become an unsecured creditor in those proceedings with a claim equal to the termination amount at that time as determined pursuant to the capped call documentation with such option counterparty. Our exposure will depend on many factors but, generally, an increase in our exposure will be correlated to an increase in the market price and in the volatility of the common shares. In addition, upon a default by an option counterparty, we may suffer adverse tax consequences and more dilution than we currently anticipate with respect to the common shares. We can provide no assurances as to the financial stability or viability of the option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Risk Factors Related to our REIT Status and Other Laws and Regulations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Failure to qualify as a REIT for federal income tax purposes would cause the Parent Company to be taxed as a corporation, which would substantially reduce funds available for payment of distributions.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we fail to qualify as a REIT: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would not be allowed a deduction for distributions to shareholders in computing taxable income;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would be subject to federal income tax at regular corporate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unless we are entitled to relief under specific statutory provisions, we could not elect to be taxed as a REIT for four taxable years following the year during which we were disqualified;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could be required to pay significant income taxes, which would substantially reduce the funds available for investment or for distribution to our shareholders for each year in which we failed or were not permitted to qualify;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would no longer be required by law to make any distributions to our shareholders.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To maintain our status as a REIT, we limit the amount of shares any one shareholder of the Parent Company can own.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the Parent Company's declaration of trust prohibits any one shareholder from owning (actually or constructively) more than 9.8% in value of the outstanding common shares or of any class or series of outstanding preferred shares. The constructive ownership rules are complex. Shares of the Parent Company's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happens, either the transfer of ownership would be void or the shares would be transferred to a charitable trust and then sold to someone who can own those shares without violating the 9.8% ownership limit.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Board of Trustees may waive these restrictions on a case-by-case basis. In addition, the Board of Trustees and two-thirds of our shareholders eligible to vote at a shareholder meeting may remove these restrictions if they determine it is no longer in our best interests for the Parent Company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Legislative, administrative, regulatory or other actions affecting REITs, including positions taken by the IRS, could have a material adverse effect on us and our investors.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rules dealing with U.S. federal income taxation are constantly under review by persons involved in the legislative process, and by the Internal Revenue Service (“IRS”) and the U.S. Department of the Treasury (“Treasury”). Changes to the tax laws or interpretations thereof by the IRS and the Treasury, with or without retroactive application, could materially and adversely affect us and our investors. No prediction can be made as to the likelihood of passage of new tax legislation or other provisions, or the direct or indirect effect on us and our shareholders. Accordingly, such new legislation, Treasury regulations, administrative interpretations or court decisions could significantly and negatively affect our ability to qualify to be taxed as a REIT and/or the U.S. federal income tax consequences to us and our investors of such qualification.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76" w:before="280" w:after="283"/>
        <w:jc w:val="left"/>
        <w:rPr>
          <w:rFonts w:ascii="Times New Roman;serif" w:hAnsi="Times New Roman;serif"/>
          <w:b/>
          <w:color w:val="000000"/>
          <w:sz w:val="20"/>
        </w:rPr>
      </w:pPr>
      <w:r>
        <w:rPr>
          <w:rFonts w:ascii="Times New Roman;serif" w:hAnsi="Times New Roman;serif"/>
          <w:b/>
          <w:color w:val="000000"/>
          <w:sz w:val="20"/>
        </w:rPr>
        <w:t>We may be required to incur additional debt to qualify as a REIT.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income may not be matched by our related expenses at the time the income is considered received for purposes of determining taxable income;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non-deductible capital expenditures, creation of reserves, or debt service requirements may reduce available cash but not taxable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Environmental laws and regulations could reduce the value or profitability of our 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responsible for the disposal or treatment of hazardous or toxic substances released on or in properties we own or operate, as well as certain other potential costs relating to hazardous or toxic substances (including governmental fines and injuries to persons and property). This liability may be imposed whether or not we knew about, or were responsible for, the presence of hazardous or toxic substances. Further, the presence of contamination on our properties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changes in government legislation and regulation on climate change could result in increased capital expenditures to improve the energy efficiency of our existing properties and could also require us to spend more on our development or redevelopment projects without a corresponding increase in revenues, which may adversely affect our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Americans with Disabilities Act of 1990 could require us to take remedial steps with respect to existing or newly acquired 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The revenues generated by our tenants could be negatively affected by various federal, state and local laws to which they are subject.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Certain tax and anti-takeover provisions of the Parent Company's declaration of trust and bylaws, and certain restrictions in the Partnership's limited partnership agreement, may inhibit a change of our control.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provisions contained in the Parent Company's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provisions also may delay or prevent the shareholders from receiving a premium for their common shares over then-prevailing market prices. These provisions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REIT ownership limit described above;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authorization of the issuance of our preferred shares with powers, preferences or rights to be determined by the Board of Trustees;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special meetings of our shareholders may be called only by the chairman of the board, the chief executive officer, the president, by one-third of the trustees or by shareholders possessing no less than 25% of all the votes entitled to be cast at the meeting;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Board of Trustees, without a shareholder vote, can classify or reclassify unissued shares of beneficial interest, including the reclassification of common shares into preferred shares and vice-versa;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two-thirds shareholder vote is required to approve some amendments to the declaration of trust;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advance-notice requirements for proposals to be presented at shareholder meetings.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Parent Company's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certain provisions in the Partnership’s limited partnership agreement (the “Partnership Agreement”) may delay or make more difficult unsolicited acquisitions of us or changes in our control. These provisions could discourage third parties from making proposals involving an unsolicited acquisition of us or change of our control, although some shareholders might consider such proposals, if made, desirable. These provisions also make it more difficult for third parties to alter the management structure of the Partnership without the concurrence of our Board of Trustees. These provisions include, among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redemption rights of limited partners and certain assignees of units of limited partnership interest ("OP Units");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transfer restrictions on OP Units and restrictions on admissions of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requirement that the General Partner may not be removed as the general partner of the Partnership without its consent;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the General Partner to issue preferred partnership interests in the Partnership with terms that it may determine, without the approval or consent of any Limited Partner;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on the ability of the General Partner, the Partnership or the Parent Company to transfer its interests in the Partnership or otherwise engage in certain extraordinary transactions, including, among others, certain mergers, business combinations, sales of all or substantially all of their assets and recapitalizations.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The market value of our debt and equity securities is subject to various factors that may cause significant fluctuations or volatility.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financial market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and trend of interest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access the capital markets to raise additional capital;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issuance of additional equity or debt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funds from operations (“FFO”) or earnings estimates;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credit or analyst ratings;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financial condition and performance;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perception of our business compared to other REITs;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perception of REITs, in general, compared to other investment alternatives.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We cannot assure you we will continue to pay dividends in the current composition or at historical rates.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financial condition and results of future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performance by our tenants under their contractual lease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terms of our loan covenants;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acquire, finance, develop or redevelop and lease additional properties at attractive rates.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we do not maintain or increase, or if we change the composition of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pStyle w:val="TextBody"/>
        <w:bidi w:val="0"/>
        <w:spacing w:lineRule="auto" w:line="268" w:before="280" w:after="283"/>
        <w:jc w:val="both"/>
        <w:rPr>
          <w:rFonts w:ascii="Times New Roman;serif" w:hAnsi="Times New Roman;serif"/>
          <w:b/>
          <w:color w:val="000000"/>
          <w:sz w:val="20"/>
        </w:rPr>
      </w:pPr>
      <w:r>
        <w:rPr>
          <w:rFonts w:ascii="Times New Roman;serif" w:hAnsi="Times New Roman;serif"/>
          <w:b/>
          <w:color w:val="000000"/>
          <w:sz w:val="20"/>
        </w:rPr>
        <w:t>The Parent Company is a holding company with no direct operations, and it will rely on funds received from the Partnership to pay its obligations and make distributions to its shareholders.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Parent Company is a holding company and expects to conduct substantially all of its operations through the Partnership. The Parent Company will not have, apart from an interest in the Partnership, any independent operations. As a result, the Parent Company will rely on distributions from the Partnership to make any distributions we declare on our common shares. The Parent Company will also rely on distributions from the Partnership to meet its obligations, including any tax liability on taxable income allocated to the Parent Company from the Partnership. Through its ownership and control of the General Partner, the Parent Company exercises exclusive control over the Partnership, including the authority to cause the Partnership to make distributions, subject to certain limited approval and voting rights of the Partnership’s Limited Partners as described in the Partnership Agreement. In addition, because the Parent Company is a holding company, your claims as shareholders are structurally subordinated to all existing and future liabilities and obligations to preferred equity holders of the Partnership and its subsidiaries. Therefore, in the event of a bankruptcy, insolvency, liquidation or reorganization of the Partnership or its subsidiaries, assets of the Partnership or the applicable subsidiary will be available to satisfy any claims of our shareholders only after such liabilities and obligations have been satisfied in full.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currently own 100% of the OP Units issued by the Partnership and are its sole Limited Partner. However, in connection with our future acquisition activities or otherwise, we may issue additional OP Units to third parties and admit additional Limited Partners. Such issuances would reduce the Parent Company’s percentage ownership in the Partnership.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Loss of our key management could adversely affect performance and the value of our common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dependent on the efforts of our key management. Although we believe qualified replacements could be found for any departures of key executives, the loss of their services could adversely affect our performance and the value of our common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may adjust our business policies without shareholder approval.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We face risks relating to cyber threats that could cause loss of confidential information and other business disruptions.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extensively on information technology systems to process transactions and manage our business, and our business is at risk from and may be impacted by cybersecurity incidents. These could include attempts to gain unauthorized access to our data and computer systems as well as attacks on third party's information technology systems that we rely on to provide important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 services relating to key business functions, such as payroll. Cyber attacks can be both individual and/or highly organized attempts by very sophisticated hacking organizations. A cyber attack could compromise the confidential information of our employees, tenants, and vendors. A successful attack could adversely affect our business operations, results of operations, or financial condition by, among other things, disrupting our collection of revenue, interfering with our ability to satisfy our financial obligations by restricting access to our assets, or causing inaccuracies in our financial reporting. We employ a number of measures to prevent, detect, and mitigate these threats, which include password encryption, multi-factor authentication, frequent password change events, firewall detection systems, anti-virus software in-place, frequent backups, a redundant data system for core applications, and penetration testing; however, there is no guarantee such efforts will be successful in preventing a material cybersecurity incident.</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 SECURITY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chief information officer, who has over 30 years of experience in managing information systems for real estate companies, heads our internal team of technology professionals who are responsible for managing our cybersecurity risks, which includes identifying our primary areas of risk, establishing processes, procedures, and systems to mitigate those risks and identifying and remediating any breaches that may occur. Cybersecurity risk management falls under our chief legal officer as part of our overall risk management program, which is ultimately overseen by the Audit Committee of the Board of Trustees. Our team is supported by a third party company that we have retained to act as our chief information security officer based on the third party company's experience in preventing cybersecurity incidents, advising clients about appropriate cybersecurity procedures and processes, and assessing the integrity of those procedures and processes. The assessment and management of our cybersecurity risks covers all of our internal systems, the systems of third parties who maintain our data, and our use of artificial intelligence.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our management team's experience in risk management, in consultation with our third party advisor, to appropriately address cybersecurity threats. As part of our processes to manage risks from cybersecurity threats and our use of artificial intelligence, we have developed and enforce company-wide policies related to password encryption, strength and expiration, we require multi-factor authentication where appropriate, conduct regular employee training about our policies and cybersecurity threats, and we have adopted a policy on use of artificial intelligence. We make use of firewalls, end-point protection, backups, redundancies, regular penetration testing, and our systems monitor and flag irregularities in how our information systems are accessed or used. Any known cybersecurity incidents would be reported by our chief information officer to our chief legal officer and disclosure committee for evaluation and remediation, and for a determination of how we might develop further security systems and procedures to address evolving cybersecurity threats. Management provides written and verbal updates to the Audit Committee at least quarterly identifying our primary areas of risk, actions taken or planned to be taken to mitigate those risks, and specific activities undertaken during the quarter, including employee training and the results of that training. Management would also provide updates to seek oversight from the Audit Committee on an ad hoc basis in connection with any material cybersecurity incident, should one occur.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not experienced any cybersecurity incident that has had a material impact on our business strategy, results of operations, or financial condition. For more information, see Item 1A. Risk Factors ("We face risks relating to cybersecurity threats that could cause loss of confidential information and other business disruptions").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owned or had a majority ownership interest in community and neighborhood shopping centers and mixed-used properties which are operated as 104 predominantly retail real estate projects comprising approximately 28.8 million commercial square feet. These properties are located primarily in major coastal markets and select underserved markets that we believe have strong economic and demographic fundamentals. No single commercial or residential property accounted for over 10% of our 2025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Tenant Diversification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approximately 3,700 commercial leases and 2,700 residential leases, with commercial tenants ranging from sole proprietors to major national and international retailers. No one tenant or affiliated group of tenants accounted for more than 2.4% of our annualized base rent as of December 31, 2025. As a result of our tenant diversification,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believe our exposure to any one bankruptcy filing has not been and will not be significant, however, multiple filings by a number of tenants could have a significant impact.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Geographic Diversification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104 real estate projects are located in 14 states and the District of Columbia. The following table shows the number of projects, the gross leasable area (“GLA”) of commercial space and the percentage of total portfolio gross leasable area of commercial space in each state as of December 31, 2025.</w:t>
      </w:r>
    </w:p>
    <w:p>
      <w:pPr>
        <w:pStyle w:val="TextBody"/>
        <w:bidi w:val="0"/>
        <w:spacing w:lineRule="auto" w:line="288" w:before="0" w:after="0"/>
        <w:jc w:val="left"/>
        <w:rPr>
          <w:color w:val="000000"/>
        </w:rPr>
      </w:pPr>
      <w:r>
        <w:rPr>
          <w:color w:val="000000"/>
        </w:rPr>
        <w:t> </w:t>
      </w:r>
    </w:p>
    <w:tbl>
      <w:tblPr>
        <w:tblW w:w="6371" w:type="dxa"/>
        <w:jc w:val="left"/>
        <w:tblInd w:w="0" w:type="dxa"/>
        <w:tblLayout w:type="fixed"/>
        <w:tblCellMar>
          <w:top w:w="28" w:type="dxa"/>
          <w:left w:w="28" w:type="dxa"/>
          <w:bottom w:w="28" w:type="dxa"/>
          <w:right w:w="28" w:type="dxa"/>
        </w:tblCellMar>
      </w:tblPr>
      <w:tblGrid>
        <w:gridCol w:w="643"/>
        <w:gridCol w:w="567"/>
        <w:gridCol w:w="575"/>
        <w:gridCol w:w="109"/>
        <w:gridCol w:w="109"/>
        <w:gridCol w:w="109"/>
        <w:gridCol w:w="295"/>
        <w:gridCol w:w="295"/>
        <w:gridCol w:w="296"/>
        <w:gridCol w:w="109"/>
        <w:gridCol w:w="109"/>
        <w:gridCol w:w="109"/>
        <w:gridCol w:w="548"/>
        <w:gridCol w:w="548"/>
        <w:gridCol w:w="401"/>
        <w:gridCol w:w="109"/>
        <w:gridCol w:w="109"/>
        <w:gridCol w:w="109"/>
        <w:gridCol w:w="314"/>
        <w:gridCol w:w="317"/>
        <w:gridCol w:w="591"/>
      </w:tblGrid>
      <w:tr>
        <w:trPr/>
        <w:tc>
          <w:tcPr>
            <w:tcW w:w="6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Leasable</w:t>
              <w:b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of Gross</w:t>
              <w:br/>
              <w:t>Leasable</w:t>
              <w:br/>
              <w:t>Area</w:t>
            </w:r>
          </w:p>
        </w:tc>
      </w:tr>
      <w:tr>
        <w:trPr/>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square feet)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District of Columbia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28,798,000</w:t>
            </w:r>
            <w:r>
              <w:rPr>
                <w:color w:val="000000"/>
              </w:rPr>
              <w:t>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Leases, Lease Terms and Lease Expirations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2025, represented approximately 8.7% of total rental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schedule of lease expirations for our commercial leases in place as of December 31, 2025 for each of the 10 years beginning with 2026 and after 2035 in the aggregate assuming that none of the tenants exercise future renewal options. Annualized base rents reflect in-place contractual rents as of December 31, 2025.</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55"/>
        <w:gridCol w:w="471"/>
        <w:gridCol w:w="472"/>
        <w:gridCol w:w="109"/>
        <w:gridCol w:w="109"/>
        <w:gridCol w:w="109"/>
        <w:gridCol w:w="540"/>
        <w:gridCol w:w="541"/>
        <w:gridCol w:w="246"/>
        <w:gridCol w:w="109"/>
        <w:gridCol w:w="109"/>
        <w:gridCol w:w="109"/>
        <w:gridCol w:w="257"/>
        <w:gridCol w:w="257"/>
        <w:gridCol w:w="642"/>
        <w:gridCol w:w="109"/>
        <w:gridCol w:w="109"/>
        <w:gridCol w:w="109"/>
        <w:gridCol w:w="211"/>
        <w:gridCol w:w="1186"/>
        <w:gridCol w:w="109"/>
        <w:gridCol w:w="109"/>
        <w:gridCol w:w="109"/>
        <w:gridCol w:w="109"/>
        <w:gridCol w:w="695"/>
        <w:gridCol w:w="695"/>
        <w:gridCol w:w="2020"/>
      </w:tblGrid>
      <w:tr>
        <w:trPr/>
        <w:tc>
          <w:tcPr>
            <w:tcW w:w="55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of Lease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Leased</w:t>
              <w:br/>
              <w:t>Square</w:t>
              <w:br/>
              <w:t>Footage</w:t>
              <w:b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Leased Square</w:t>
              <w:br/>
              <w:t>Footage</w:t>
              <w:br/>
              <w:t>Expiring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Annualized</w:t>
              <w:br/>
              <w:t>Base Rent</w:t>
              <w:br/>
              <w:t>Represented by</w:t>
              <w:br/>
              <w:t>Expiring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Annualized Base Rent  Represented by Expiring Leases</w:t>
            </w:r>
          </w:p>
        </w:tc>
      </w:tr>
      <w:tr>
        <w:trPr/>
        <w:tc>
          <w:tcPr>
            <w:tcW w:w="1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1,859,000 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127,878,000 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27,095,000 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888,377,000 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we signed leases for a total of 2,471,000 square feet of retail space including 2,340,000 square feet of comparable space leases (leases for which there was a prior tenant) at an average rental increase of 15% on a cash basis. New leases for comparable spaces were signed for 841,000 square feet at an average rental increase of 19% on a cash basis. Renewals for comparable spaces were signed for 1,499,000 square feet at an average rental increase of 12% on a cash basis. Tenant improvements and incentives for comparable spaces were $23.18 per square foot, of which, $53.34 per square foot was for new leases and $6.26 per square foot was for renewals in 2025.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2024, we signed leases for a total of 2,434,000 square feet of retail space including 2,392,000 square feet of comparable space leases (leases for which there was a prior tenant) at an average rental increase of 11% on a cash basis. New leases for comparable spaces were signed for 979,000 square feet at an average rental increase of 15% on a cash basis. Renewals for comparable spaces were signed for 1,413,000 square feet at an average rental increase of 8% on a cash basis. Tenant improvements and incentives for comparable spaces were $26.03 per square foot, of which, $58.91 per square foot was for new leases and $3.25 per square foot was for renewals in 2024.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judgment by management in determining what are costs specific to the tenant and not deferred maintenance on the space.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past five years, we have executed comparable space leases for 2.0 to 2.4 million square feet of retail space each year and expect the volume for 2026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leases signed in 2025 generally become effective over the following two years though some may not become effective until 2028 and beyond. Further, there is risk that some new tenants will not ultimately take possession of their space and that tenants for both new and renewal leases may not pay all of their contractual rent due to operating, financing or other matters.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historical increases in rental rates do provide information about the tenant/landlord relationship and the potential increase we may achieve in rental income over time.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Retail and Residential 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all real estate projects in which we owned an equity interest, had a leasehold interest, or otherwise controlled and are consolidated as of December 31, 2025. Except as otherwise noted, we are the sole owner of our real estate projects. Principal tenants are the largest tenants in the project based on square feet leased or are tenants important to a project’s success due to their ability to attract retail customers.</w:t>
      </w:r>
    </w:p>
    <w:tbl>
      <w:tblPr>
        <w:tblW w:w="10205" w:type="dxa"/>
        <w:jc w:val="left"/>
        <w:tblInd w:w="0" w:type="dxa"/>
        <w:tblLayout w:type="fixed"/>
        <w:tblCellMar>
          <w:top w:w="28" w:type="dxa"/>
          <w:left w:w="28" w:type="dxa"/>
          <w:bottom w:w="28" w:type="dxa"/>
          <w:right w:w="28" w:type="dxa"/>
        </w:tblCellMar>
      </w:tblPr>
      <w:tblGrid>
        <w:gridCol w:w="618"/>
        <w:gridCol w:w="404"/>
        <w:gridCol w:w="406"/>
        <w:gridCol w:w="109"/>
        <w:gridCol w:w="109"/>
        <w:gridCol w:w="109"/>
        <w:gridCol w:w="405"/>
        <w:gridCol w:w="405"/>
        <w:gridCol w:w="406"/>
        <w:gridCol w:w="109"/>
        <w:gridCol w:w="109"/>
        <w:gridCol w:w="109"/>
        <w:gridCol w:w="287"/>
        <w:gridCol w:w="287"/>
        <w:gridCol w:w="289"/>
        <w:gridCol w:w="109"/>
        <w:gridCol w:w="109"/>
        <w:gridCol w:w="109"/>
        <w:gridCol w:w="414"/>
        <w:gridCol w:w="358"/>
        <w:gridCol w:w="360"/>
        <w:gridCol w:w="109"/>
        <w:gridCol w:w="109"/>
        <w:gridCol w:w="109"/>
        <w:gridCol w:w="421"/>
        <w:gridCol w:w="421"/>
        <w:gridCol w:w="423"/>
        <w:gridCol w:w="109"/>
        <w:gridCol w:w="109"/>
        <w:gridCol w:w="109"/>
        <w:gridCol w:w="366"/>
        <w:gridCol w:w="366"/>
        <w:gridCol w:w="367"/>
        <w:gridCol w:w="109"/>
        <w:gridCol w:w="109"/>
        <w:gridCol w:w="109"/>
        <w:gridCol w:w="471"/>
        <w:gridCol w:w="313"/>
        <w:gridCol w:w="456"/>
      </w:tblGrid>
      <w:tr>
        <w:trPr/>
        <w:tc>
          <w:tcPr>
            <w:tcW w:w="61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Tenant(s)</w:t>
            </w:r>
          </w:p>
        </w:tc>
      </w:tr>
      <w:tr>
        <w:trPr/>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Camelback Colonnade</w:t>
              <w:br/>
              <w:t>   Phoenix, AZ 85016(4)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1977, 2019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Fry's Food &amp; Drug</w:t>
              <w:br/>
              <w:t>Marshalls</w:t>
              <w:br/>
              <w:t>Nordstrom Last Chance</w:t>
              <w:br/>
              <w:t>Best Buy</w:t>
              <w:br/>
              <w:t>HomeGoods</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Chandler Festival</w:t>
              <w:br/>
              <w:t>   Chandler, AZ 85224(5)(6)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Ross Dress for Less</w:t>
              <w:br/>
              <w:t>Nordstrom Rack</w:t>
              <w:br/>
              <w:t>TJ Maxx</w:t>
              <w:br/>
              <w:t>Ulta</w:t>
              <w:br/>
              <w:t>Wayfair Outlet</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Chandler Gateway</w:t>
              <w:br/>
              <w:t>   Chandler, AZ 85226(5)(6)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Walmart</w:t>
              <w:br/>
              <w:t>Hobby Lobby</w:t>
              <w:br/>
              <w:t>Petco</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Shops at Hilton Village</w:t>
              <w:br/>
              <w:t>   Scottsdale, AZ 85250(4)(7)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1982, 1989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CVS</w:t>
              <w:br/>
              <w:t>Houston's</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Azalea</w:t>
              <w:br/>
              <w:t>   South Gate, CA 90280(4)(6)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Marshalls</w:t>
              <w:br/>
              <w:t>Ross Dress for Less</w:t>
              <w:br/>
              <w:t>Ulta</w:t>
              <w:br/>
              <w:t xml:space="preserve">Michaels </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Bell Gardens</w:t>
              <w:br/>
              <w:t>   Bell Gardens, CA 90201(4)(6)(7)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1990, 2003, 2006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2017/2018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Food 4 Less</w:t>
              <w:br/>
              <w:t>El Super</w:t>
              <w:br/>
              <w:t>Marshalls</w:t>
              <w:br/>
              <w:t>Ross Dress for Less</w:t>
              <w:br/>
              <w:t>Bob's Discount Furniture</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Colorado Blvd</w:t>
              <w:br/>
              <w:t>   Pasadena, CA 91103(7)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1905-1988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Banana Republic</w:t>
              <w:br/>
              <w:t>True Food Kitchen</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Crow Canyon Commons</w:t>
              <w:br/>
              <w:t>   San Ramon, CA 94583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1980, 1998,</w:t>
              <w:b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2005/2007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Sprouts</w:t>
              <w:br/>
              <w:t>Total Wine &amp; More</w:t>
              <w:br/>
              <w:t>Alamo Ace Hardware</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 Monte Shopping Center</w:t>
              <w:br/>
              <w:t>   Monterey, CA 93940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1968, 1976, 1984, 2004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 Foods</w:t>
              <w:br/>
              <w:t>Macy's</w:t>
              <w:br/>
              <w:t>Petco</w:t>
              <w:br/>
              <w:t>Pottery Barn</w:t>
              <w:br/>
              <w:t>Apple</w:t>
              <w:br/>
              <w:t>Sephora</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Bay Bridge</w:t>
              <w:br/>
              <w:t>   Emeryville &amp; Oakland, CA 94608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1994-2001,</w:t>
              <w:br/>
              <w:t>2011, 2012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Pak-N-Save</w:t>
              <w:br/>
              <w:t>Target</w:t>
              <w:br/>
              <w:t>Home Depot</w:t>
              <w:br/>
              <w:t>Nordstrom Rack</w:t>
              <w:br/>
              <w:t>Michaels</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Escondido Promenade</w:t>
              <w:br/>
              <w:t>   Escondido, CA 92029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1996/2010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TJ Maxx</w:t>
              <w:br/>
              <w:t>Dick's Sporting Goods</w:t>
              <w:br/>
              <w:t>Ross Dress for Less</w:t>
              <w:br/>
              <w:t>Bob's Discount Furniture</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Fourth Street</w:t>
              <w:br/>
              <w:t>   Berkeley, CA 94710(4)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1948, 1975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CB2</w:t>
              <w:br/>
              <w:t>Bellwether Coffee</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Freedom Plaza</w:t>
              <w:br/>
              <w:t>   Los Angeles, CA 90002(4)(7)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Smart &amp; Final</w:t>
              <w:br/>
              <w:t>Nike</w:t>
              <w:br/>
              <w:t>Blink Fitness</w:t>
              <w:br/>
              <w:t>Ross Dress for Less</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Grossmont Center</w:t>
              <w:br/>
              <w:t>   La Mesa, CA 91942(4)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1961, 1963, 1982-1983,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Target</w:t>
              <w:br/>
              <w:t>Walmart</w:t>
              <w:br/>
              <w:t>Barnes &amp; Noble</w:t>
              <w:br/>
              <w:t>CVS</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Hastings Ranch Plaza</w:t>
              <w:br/>
              <w:t>   Pasadena, CA 91107(7)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1958, 1984, 2006, 2007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Marshalls</w:t>
              <w:br/>
              <w:t>HomeGoods</w:t>
              <w:br/>
              <w:t>CVS</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 Alameda</w:t>
              <w:br/>
              <w:t>   Walnut Park, CA 90255(5)(6)(7)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Marshalls</w:t>
              <w:br/>
              <w:t>Ross Dress for Less</w:t>
              <w:br/>
              <w:t>CVS</w:t>
              <w:br/>
              <w:t>Petco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3"/>
        <w:gridCol w:w="387"/>
        <w:gridCol w:w="389"/>
        <w:gridCol w:w="109"/>
        <w:gridCol w:w="109"/>
        <w:gridCol w:w="109"/>
        <w:gridCol w:w="364"/>
        <w:gridCol w:w="364"/>
        <w:gridCol w:w="366"/>
        <w:gridCol w:w="109"/>
        <w:gridCol w:w="109"/>
        <w:gridCol w:w="109"/>
        <w:gridCol w:w="285"/>
        <w:gridCol w:w="285"/>
        <w:gridCol w:w="286"/>
        <w:gridCol w:w="109"/>
        <w:gridCol w:w="109"/>
        <w:gridCol w:w="109"/>
        <w:gridCol w:w="508"/>
        <w:gridCol w:w="345"/>
        <w:gridCol w:w="347"/>
        <w:gridCol w:w="109"/>
        <w:gridCol w:w="109"/>
        <w:gridCol w:w="109"/>
        <w:gridCol w:w="406"/>
        <w:gridCol w:w="406"/>
        <w:gridCol w:w="408"/>
        <w:gridCol w:w="109"/>
        <w:gridCol w:w="109"/>
        <w:gridCol w:w="109"/>
        <w:gridCol w:w="361"/>
        <w:gridCol w:w="361"/>
        <w:gridCol w:w="362"/>
        <w:gridCol w:w="109"/>
        <w:gridCol w:w="109"/>
        <w:gridCol w:w="109"/>
        <w:gridCol w:w="473"/>
        <w:gridCol w:w="421"/>
        <w:gridCol w:w="446"/>
      </w:tblGrid>
      <w:tr>
        <w:trPr/>
        <w:tc>
          <w:tcPr>
            <w:tcW w:w="67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Tenant(s)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Old Town Center</w:t>
              <w:br/>
              <w:t>   Los Gatos, CA 95030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1962, 1998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Anthropologie</w:t>
              <w:br/>
              <w:t>Sephora</w:t>
              <w:br/>
              <w:t>Arhaus Furniture</w:t>
              <w:br/>
              <w:t>Teleferic Barcelona</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Olivo at Mission Hills</w:t>
              <w:br/>
              <w:t>   Mission Hills, CA 91345(4)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Target</w:t>
              <w:br/>
              <w:t>24 Hour Fitness</w:t>
              <w:br/>
              <w:t>Ross Dress for Less</w:t>
              <w:br/>
              <w:t>Ulta</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Pinole Vista Crossing</w:t>
              <w:br/>
              <w:t>   Pinole, CA 94564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1995, 2015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FoodMaxx</w:t>
              <w:br/>
              <w:t>TJ Maxx</w:t>
              <w:br/>
              <w:t>Nordstrom Rack</w:t>
              <w:br/>
              <w:t>HomeGoods</w:t>
              <w:br/>
              <w:t>Ulta</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Plaza Del Sol</w:t>
              <w:br/>
              <w:t>   South El Monte, CA 91733(4)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Marshalls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Plaza El Segundo / The Point</w:t>
              <w:br/>
              <w:t>   El Segundo, CA 90245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2006-2007,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Whole Foods </w:t>
              <w:br/>
              <w:t>Nordstrom Rack</w:t>
              <w:br/>
              <w:t>HomeGoods</w:t>
              <w:br/>
              <w:t>Dick's Sporting Goods</w:t>
              <w:br/>
              <w:t xml:space="preserve">Multiple Restaurants </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Antonio Center</w:t>
              <w:br/>
              <w:t>   Mountain View, CA 94040(7)(8)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1958,</w:t>
              <w:br/>
              <w:t>1964-1965,</w:t>
              <w:br/>
              <w:t>1974-1975,</w:t>
              <w:br/>
              <w:t>1995-1997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2015/2019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Trader Joe's</w:t>
              <w:br/>
              <w:t>Walmart</w:t>
              <w:br/>
              <w:t>24 Hour Fitness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w:t>
              <w:br/>
              <w:t>   San Jose, CA 95128(7)(10)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2002, 2009, 2016, 2020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Crate &amp; Barrel</w:t>
              <w:br/>
              <w:t>Container Store Best Buy</w:t>
              <w:br/>
              <w:t>Sephora</w:t>
              <w:br/>
              <w:t>Cisco Systems</w:t>
              <w:br/>
              <w:t>Net App</w:t>
              <w:br/>
              <w:t>Multiple Restaurants</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 Residential</w:t>
              <w:br/>
              <w:t>   San Jose, CA 95128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2003-2006,</w:t>
              <w:b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1997/2012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Sylmar Towne Center</w:t>
              <w:br/>
              <w:t>   Sylmar, CA 91342(4)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Food 4 Less</w:t>
              <w:br/>
              <w:t>CVS</w:t>
              <w:br/>
              <w:t>Ross Dress for Less</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Westgate Center</w:t>
              <w:br/>
              <w:t>   San Jose, CA 95129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1960-1966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Target</w:t>
              <w:br/>
              <w:t>Nordstrom Rack</w:t>
              <w:br/>
              <w:t>Nike Factory</w:t>
              <w:br/>
              <w:t>TJ Maxx</w:t>
              <w:br/>
              <w:t>Ross Dress for Less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Darien Commons</w:t>
              <w:br/>
              <w:t>   Darien, CT 06820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1920-2009,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2013/2018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Equinox</w:t>
              <w:br/>
              <w:t>Walgreens</w:t>
              <w:br/>
              <w:t>Multiple Restaurants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Darien Commons Residential</w:t>
              <w:br/>
              <w:t>   Darien, CT 06820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2013/2018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Greenwich Avenue</w:t>
              <w:br/>
              <w:t>   Greenwich Avenue, CT 06830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Saks Fifth Avenue</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District of Columbia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Friendship Center</w:t>
              <w:br/>
              <w:t>   Washington, DC 20015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Maggiano's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CocoWalk</w:t>
              <w:br/>
              <w:t>   Coconut Grove, FL 33133(11)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1990/1994,</w:t>
              <w:br/>
              <w:t>1922-1973,</w:t>
              <w:br/>
              <w:t>2018-2021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2015-2017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Cinepolis Theaters</w:t>
              <w:br/>
              <w:t>Youfit Health Club</w:t>
              <w:br/>
              <w:t>Multiple Restaurants</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 Mar Village</w:t>
              <w:br/>
              <w:t>   Boca Raton, FL 33433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1982, 1994</w:t>
              <w:br/>
              <w:t>&amp;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2008/2014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Aldi</w:t>
              <w:br/>
              <w:t>CVS</w:t>
              <w:br/>
              <w:t>L.A. Fitness</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Shops at Pembroke Gardens</w:t>
              <w:br/>
              <w:t>   Pembroke Pines, FL 33027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Nike Factory</w:t>
              <w:br/>
              <w:t>Old Navy</w:t>
              <w:br/>
              <w:t xml:space="preserve">DSW </w:t>
              <w:br/>
              <w:t>Barnes &amp; Noble</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Tower Shops</w:t>
              <w:br/>
              <w:t>   Davie, FL 33324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1989, 2017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2011/2014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Trader Joe's</w:t>
              <w:br/>
              <w:t>TJ Maxx</w:t>
              <w:br/>
              <w:t>Ross Dress for Less</w:t>
              <w:br/>
              <w:t>Best Buy</w:t>
              <w:br/>
              <w:t>Ulta</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Crossroads</w:t>
              <w:br/>
              <w:t>   Highland Park, IL 60035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 Fitness</w:t>
              <w:br/>
              <w:t>Ulta</w:t>
              <w:br/>
              <w:t>Binny's</w:t>
              <w:br/>
              <w:t>Ferguson Home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58"/>
        <w:gridCol w:w="403"/>
        <w:gridCol w:w="404"/>
        <w:gridCol w:w="109"/>
        <w:gridCol w:w="109"/>
        <w:gridCol w:w="109"/>
        <w:gridCol w:w="387"/>
        <w:gridCol w:w="387"/>
        <w:gridCol w:w="388"/>
        <w:gridCol w:w="109"/>
        <w:gridCol w:w="109"/>
        <w:gridCol w:w="109"/>
        <w:gridCol w:w="282"/>
        <w:gridCol w:w="282"/>
        <w:gridCol w:w="283"/>
        <w:gridCol w:w="109"/>
        <w:gridCol w:w="109"/>
        <w:gridCol w:w="109"/>
        <w:gridCol w:w="390"/>
        <w:gridCol w:w="330"/>
        <w:gridCol w:w="332"/>
        <w:gridCol w:w="109"/>
        <w:gridCol w:w="109"/>
        <w:gridCol w:w="109"/>
        <w:gridCol w:w="388"/>
        <w:gridCol w:w="388"/>
        <w:gridCol w:w="390"/>
        <w:gridCol w:w="109"/>
        <w:gridCol w:w="109"/>
        <w:gridCol w:w="109"/>
        <w:gridCol w:w="355"/>
        <w:gridCol w:w="355"/>
        <w:gridCol w:w="356"/>
        <w:gridCol w:w="109"/>
        <w:gridCol w:w="109"/>
        <w:gridCol w:w="109"/>
        <w:gridCol w:w="544"/>
        <w:gridCol w:w="378"/>
        <w:gridCol w:w="463"/>
      </w:tblGrid>
      <w:tr>
        <w:trPr/>
        <w:tc>
          <w:tcPr>
            <w:tcW w:w="7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Tenant(s)</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Finley Square</w:t>
              <w:br/>
              <w:t>   Downers Grove, IL 60515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Marshalls</w:t>
              <w:br/>
              <w:t>Home Goods</w:t>
              <w:br/>
              <w:t>Michaels</w:t>
              <w:br/>
              <w:t>Portillo's</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Garden Market</w:t>
              <w:br/>
              <w:t>   Western Springs, IL 60558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Mariano's Fresh Market</w:t>
              <w:br/>
              <w:t xml:space="preserve">Walgreens </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Riverpoint Center</w:t>
              <w:br/>
              <w:t>   Chicago, IL 60614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1989, 2012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Jewel Osco</w:t>
              <w:br/>
              <w:t>Marshalls</w:t>
              <w:br/>
              <w:t xml:space="preserve">Old Navy </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Town Center Crossing/Town Center Plaza</w:t>
              <w:br/>
              <w:t>   Leawood, KS 66209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1995, 2005-2008, 2014,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Trader Joe's</w:t>
              <w:br/>
              <w:t>Crate &amp; Barrel</w:t>
              <w:br/>
              <w:t>Pottery Barn</w:t>
              <w:br/>
              <w:t>Restoration Hardware</w:t>
              <w:br/>
              <w:t>Apple</w:t>
              <w:br/>
              <w:t>Aritzia</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Annapolis Town Center</w:t>
              <w:br/>
              <w:t>   Annapolis, MD 21401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2007-2010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 Foods</w:t>
              <w:br/>
              <w:t>Restoration Hardware</w:t>
              <w:br/>
              <w:t>Pottery Barn</w:t>
              <w:br/>
              <w:t>Williams Sonoma</w:t>
              <w:br/>
              <w:t>Life Time Fitness</w:t>
              <w:br/>
              <w:t>Anthropologie</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Bethesda Row</w:t>
              <w:br/>
              <w:t>   Bethesda, MD 20814(6)(7)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1945-1991</w:t>
              <w:br/>
              <w:t>2001, 2008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1993-2006/</w:t>
              <w:br/>
              <w:t>2008/2010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br/>
              <w:t>Apple</w:t>
              <w:br/>
              <w:t>Anthropologie</w:t>
              <w:br/>
              <w:t>Equinox</w:t>
              <w:br/>
              <w:t xml:space="preserve">Multiple Restaurants </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Bethesda Row Residential</w:t>
              <w:br/>
              <w:t>   Bethesda, MD 20814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Congressional Plaza</w:t>
              <w:br/>
              <w:t>   Rockville, MD 20852(4)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Fresh Market</w:t>
              <w:br/>
              <w:t>Ulta</w:t>
              <w:br/>
              <w:t>Barnes &amp; Noble</w:t>
              <w:br/>
              <w:t>Container Store</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Congressional Plaza Residential</w:t>
              <w:br/>
              <w:t>   Rockville, MD 20852(4)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2003, 2016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Courthouse Center</w:t>
              <w:br/>
              <w:t>   Rockville, MD 20852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Plaza</w:t>
              <w:br/>
              <w:t>   Rockville, MD 20852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Trader Joe's</w:t>
              <w:br/>
              <w:t>TJ Maxx</w:t>
              <w:br/>
              <w:t>Micro Center</w:t>
              <w:br/>
              <w:t>Ross Dress for Less</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Gaithersburg Square</w:t>
              <w:br/>
              <w:t>   Gaithersburg, MD 20878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Marshalls Ross Dress for Less</w:t>
              <w:br/>
              <w:t>Ashley Furniture HomeStore</w:t>
              <w:br/>
              <w:t>CVS</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Governor Plaza</w:t>
              <w:br/>
              <w:t>   Glen Burnie, MD 21961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Aldi</w:t>
              <w:br/>
              <w:t>Dick's Sporting Goods</w:t>
              <w:br/>
              <w:t>Ross Dress for Less</w:t>
              <w:br/>
              <w:t>Petco</w:t>
              <w:br/>
              <w:t>Bob's Discount Furniture</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Laurel</w:t>
              <w:br/>
              <w:t>   Laurel, MD 20707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br/>
              <w:t>Marshalls</w:t>
              <w:br/>
              <w:t>L.A. Fitness</w:t>
              <w:br/>
              <w:t>HomeGoods</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Montrose Crossing</w:t>
              <w:br/>
              <w:t>   Rockville, MD 20852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1960-1979,</w:t>
              <w:br/>
              <w:t>1996, 2011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br/>
              <w:t>Marshalls</w:t>
              <w:br/>
              <w:t>Home Depot Design Center</w:t>
              <w:br/>
              <w:t>Old Navy</w:t>
              <w:br/>
              <w:t>Burlington</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Perring Plaza</w:t>
              <w:br/>
              <w:t>   Baltimore, MD 21134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br/>
              <w:t>Home Depot</w:t>
              <w:br/>
              <w:t>Dick's Sporting Goods</w:t>
              <w:br/>
              <w:t>Micro Center</w:t>
              <w:br/>
              <w:t>Burlington</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Pike &amp; Rose</w:t>
              <w:br/>
              <w:t>   North Bethesda, MD 20852(10)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1963, 2014, 2018, 2020, 2025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1982/2007/</w:t>
              <w:b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Porsche</w:t>
              <w:br/>
              <w:t>Uniqlo</w:t>
              <w:br/>
              <w:t>REI</w:t>
              <w:br/>
              <w:t>H&amp;M</w:t>
              <w:br/>
              <w:t>L.L. Bean</w:t>
              <w:br/>
              <w:t>Choice Hotels</w:t>
              <w:br/>
              <w:t>Multiple Restaurants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33"/>
        <w:gridCol w:w="391"/>
        <w:gridCol w:w="392"/>
        <w:gridCol w:w="109"/>
        <w:gridCol w:w="109"/>
        <w:gridCol w:w="109"/>
        <w:gridCol w:w="389"/>
        <w:gridCol w:w="366"/>
        <w:gridCol w:w="367"/>
        <w:gridCol w:w="109"/>
        <w:gridCol w:w="109"/>
        <w:gridCol w:w="109"/>
        <w:gridCol w:w="285"/>
        <w:gridCol w:w="285"/>
        <w:gridCol w:w="287"/>
        <w:gridCol w:w="109"/>
        <w:gridCol w:w="109"/>
        <w:gridCol w:w="109"/>
        <w:gridCol w:w="509"/>
        <w:gridCol w:w="348"/>
        <w:gridCol w:w="350"/>
        <w:gridCol w:w="109"/>
        <w:gridCol w:w="109"/>
        <w:gridCol w:w="109"/>
        <w:gridCol w:w="409"/>
        <w:gridCol w:w="409"/>
        <w:gridCol w:w="411"/>
        <w:gridCol w:w="109"/>
        <w:gridCol w:w="109"/>
        <w:gridCol w:w="109"/>
        <w:gridCol w:w="362"/>
        <w:gridCol w:w="362"/>
        <w:gridCol w:w="363"/>
        <w:gridCol w:w="109"/>
        <w:gridCol w:w="109"/>
        <w:gridCol w:w="109"/>
        <w:gridCol w:w="469"/>
        <w:gridCol w:w="308"/>
        <w:gridCol w:w="448"/>
      </w:tblGrid>
      <w:tr>
        <w:trPr/>
        <w:tc>
          <w:tcPr>
            <w:tcW w:w="7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Tenant(s)</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Pike &amp; Rose Residential</w:t>
              <w:br/>
              <w:t>   North Bethesda, MD 20852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2014, 2018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1982/2007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447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Plaza Del Mercado</w:t>
              <w:br/>
              <w:t>   Silver Spring, MD 20906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Aldi</w:t>
              <w:br/>
              <w:t>CVS</w:t>
              <w:br/>
              <w:t xml:space="preserve">L.A. Fitness </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Quince Orchard</w:t>
              <w:br/>
              <w:t>   Gaithersburg, MD 20877(7)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Aldi</w:t>
              <w:br/>
              <w:t>HomeGoods</w:t>
              <w:br/>
              <w:t>L.A. Fitness</w:t>
              <w:br/>
              <w:t xml:space="preserve">Staples </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AVENUE at White Marsh</w:t>
              <w:br/>
              <w:t>   Baltimore, MD 21236(8)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AMC </w:t>
              <w:br/>
              <w:t>Ulta</w:t>
              <w:br/>
              <w:t>Old Navy</w:t>
              <w:br/>
              <w:t>Nike</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Shoppes at Nottingham Square</w:t>
              <w:br/>
              <w:t>   Baltimore, MD 21236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2005-2006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White Marsh Other</w:t>
              <w:br/>
              <w:t>   Baltimore, MD 21236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White Marsh Plaza</w:t>
              <w:br/>
              <w:t>   Baltimore, MD 21236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Wildwood</w:t>
              <w:br/>
              <w:t>   Bethesda, MD 20814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Balducci's</w:t>
              <w:br/>
              <w:t>CVS</w:t>
              <w:br/>
              <w:t>Multiple Restaurants</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Assembly Row/</w:t>
              <w:br/>
              <w:t>Assembly Square Marketplace</w:t>
              <w:br/>
              <w:t>   Somerville, MA 02145(10)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2005, 2014, 2018, 2021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2005-2011/</w:t>
              <w:b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Trader Joe's</w:t>
              <w:br/>
              <w:t>TJ Maxx</w:t>
              <w:br/>
              <w:t>AMC</w:t>
              <w:br/>
              <w:t>Nike</w:t>
              <w:br/>
              <w:t>Burlington</w:t>
              <w:br/>
              <w:t>World Market</w:t>
              <w:br/>
              <w:t>PUMA</w:t>
              <w:br/>
              <w:t>Multiple Restaurants</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Assembly Row Residential</w:t>
              <w:br/>
              <w:t>   Somerville, MA 02145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2018, 2021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2005-2011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947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Campus Plaza</w:t>
              <w:br/>
              <w:t>   Bridgewater, MA 02324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Roche Bros.</w:t>
              <w:br/>
              <w:t>Burlington</w:t>
              <w:br/>
              <w:t>Five Below</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Chelsea Commons</w:t>
              <w:br/>
              <w:t>   Chelsea, MA 02150(6)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1962,1969,</w:t>
              <w:br/>
              <w:t>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2006-2008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Depot</w:t>
              <w:br/>
              <w:t>Planet Fitness</w:t>
              <w:br/>
              <w:t>CVS</w:t>
              <w:br/>
              <w:t>Burlington</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Dedham Plaza</w:t>
              <w:br/>
              <w:t>   Dedham, MA 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1993/2016/</w:t>
              <w:b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Star Market</w:t>
              <w:br/>
              <w:t xml:space="preserve">Planet Fitness </w:t>
            </w:r>
          </w:p>
        </w:tc>
      </w:tr>
      <w:tr>
        <w:trPr/>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Linden Square</w:t>
              <w:br/>
              <w:t>   Wellesley, MA 02481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1960, 2008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Roche Bros.</w:t>
              <w:br/>
              <w:t>CVS</w:t>
              <w:br/>
              <w:t>Multiple Restaurants</w:t>
            </w:r>
          </w:p>
        </w:tc>
      </w:tr>
      <w:tr>
        <w:trPr/>
        <w:tc>
          <w:tcPr>
            <w:tcW w:w="15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Dartmouth</w:t>
              <w:br/>
              <w:t>   North Dartmouth, MA 02747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Stop &amp; Shop</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Queen Anne Plaza</w:t>
              <w:br/>
              <w:t>   Norwell, MA 02061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Big Y Foods</w:t>
              <w:br/>
              <w:t>TJ Maxx</w:t>
              <w:br/>
              <w:t>HomeGoods</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Gratiot Plaza</w:t>
              <w:br/>
              <w:t>   Roseville, MI 48066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Kroger</w:t>
              <w:br/>
              <w:t>Best Buy</w:t>
              <w:br/>
              <w:t>Bob's Discount Furniture</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Nebraska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Village Pointe</w:t>
              <w:br/>
              <w:t>   Omaha, NE 68118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Nordstrom Rack</w:t>
              <w:br/>
              <w:t>Best Buy</w:t>
              <w:br/>
              <w:t>Apple</w:t>
              <w:br/>
              <w:t>Sephora</w:t>
              <w:br/>
              <w:t>lululemon</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Brick Plaza</w:t>
              <w:br/>
              <w:t>   Brick Township, NJ 08723(7)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Trader Joe's</w:t>
              <w:br/>
              <w:t>L.A. Fitness</w:t>
              <w:br/>
              <w:t>HomeGoods</w:t>
              <w:br/>
              <w:t>Ulta Burlington</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Brook 35</w:t>
              <w:br/>
              <w:t>   Sea Grit, NJ 08750(4)(6)(8)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Banana Republic</w:t>
              <w:br/>
              <w:t>Gap</w:t>
              <w:br/>
              <w:t>Tommy's Tavern + Tap</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Ellisburg</w:t>
              <w:br/>
              <w:t>   Cherry Hill, NJ 08034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 Foods</w:t>
              <w:br/>
              <w:t>Five Below</w:t>
              <w:br/>
              <w:t>RH Outlet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31"/>
        <w:gridCol w:w="432"/>
        <w:gridCol w:w="395"/>
        <w:gridCol w:w="109"/>
        <w:gridCol w:w="109"/>
        <w:gridCol w:w="109"/>
        <w:gridCol w:w="349"/>
        <w:gridCol w:w="325"/>
        <w:gridCol w:w="326"/>
        <w:gridCol w:w="109"/>
        <w:gridCol w:w="109"/>
        <w:gridCol w:w="109"/>
        <w:gridCol w:w="290"/>
        <w:gridCol w:w="290"/>
        <w:gridCol w:w="291"/>
        <w:gridCol w:w="109"/>
        <w:gridCol w:w="109"/>
        <w:gridCol w:w="109"/>
        <w:gridCol w:w="384"/>
        <w:gridCol w:w="323"/>
        <w:gridCol w:w="325"/>
        <w:gridCol w:w="109"/>
        <w:gridCol w:w="109"/>
        <w:gridCol w:w="109"/>
        <w:gridCol w:w="380"/>
        <w:gridCol w:w="380"/>
        <w:gridCol w:w="382"/>
        <w:gridCol w:w="109"/>
        <w:gridCol w:w="109"/>
        <w:gridCol w:w="109"/>
        <w:gridCol w:w="352"/>
        <w:gridCol w:w="352"/>
        <w:gridCol w:w="353"/>
        <w:gridCol w:w="109"/>
        <w:gridCol w:w="109"/>
        <w:gridCol w:w="109"/>
        <w:gridCol w:w="532"/>
        <w:gridCol w:w="391"/>
        <w:gridCol w:w="460"/>
      </w:tblGrid>
      <w:tr>
        <w:trPr/>
        <w:tc>
          <w:tcPr>
            <w:tcW w:w="9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Tenant(s)</w:t>
            </w:r>
          </w:p>
        </w:tc>
      </w:tr>
      <w:tr>
        <w:trPr/>
        <w:tc>
          <w:tcPr>
            <w:tcW w:w="175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Hoboken</w:t>
              <w:br/>
              <w:t>   Hoboken, NJ 07030(4)(6)(12)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1887-2006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2019/2020/2022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CVS</w:t>
              <w:br/>
              <w:t>New York Sports Club</w:t>
              <w:br/>
              <w:t>Sephora</w:t>
              <w:br/>
              <w:t>Multiple Restaurants</w:t>
            </w:r>
          </w:p>
        </w:tc>
      </w:tr>
      <w:tr>
        <w:trPr/>
        <w:tc>
          <w:tcPr>
            <w:tcW w:w="175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Mercer on One</w:t>
              <w:br/>
              <w:t>   Lawrenceville, NJ 08648(7)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2003/2017/2023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Shop Rite</w:t>
              <w:br/>
              <w:t>Nike</w:t>
              <w:br/>
              <w:t>Ross Dress for Less</w:t>
              <w:br/>
              <w:t>Nordstrom Rack</w:t>
              <w:br/>
              <w:t>REI</w:t>
              <w:br/>
              <w:t>Tesla</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Grove at Shrewsbury</w:t>
              <w:br/>
              <w:t>   Shrewsbury, NJ 07702(4)(6)(8)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1988, 1993 </w:t>
              <w:br/>
              <w:t>&amp;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Bloomies</w:t>
              <w:br/>
              <w:t>lululemon</w:t>
              <w:br/>
              <w:t>Anthropologie</w:t>
              <w:br/>
              <w:t>Pottery Barn</w:t>
              <w:br/>
              <w:t>Williams Sonoma</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Troy Hills</w:t>
              <w:br/>
              <w:t>   Parsippany-Troy, NJ 07054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Target</w:t>
              <w:br/>
              <w:t>Floor &amp; Décor Michaels</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Fresh Meadows</w:t>
              <w:br/>
              <w:t>   Queens, NY 11365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Lidl</w:t>
              <w:br/>
              <w:t>Island of Gold</w:t>
              <w:br/>
              <w:t>AMC</w:t>
              <w:br/>
              <w:t>Kohl's</w:t>
              <w:br/>
              <w:t>Planet Fitness</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Georgetowne Shopping Center</w:t>
              <w:br/>
              <w:t>   Brooklyn, NY 11234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1969, 2006, 2015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Foodway</w:t>
              <w:br/>
              <w:t>Five Below</w:t>
              <w:br/>
              <w:t>IHOP</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Greenlawn Plaza</w:t>
              <w:br/>
              <w:t>   Greenlawn, NY 11743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1975, 2004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Greenlawn Farms</w:t>
              <w:br/>
              <w:t>Planet Fitness</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Hauppauge </w:t>
              <w:br/>
              <w:t>   Hauppauge, NY 11788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Shop Rite</w:t>
              <w:br/>
              <w:t>TJ Maxx</w:t>
              <w:br/>
              <w:t>Five Below</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w:t>
              <w:br/>
              <w:t>   Huntington, NY 11746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1988/2007/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 Foods</w:t>
              <w:br/>
              <w:t>Petsmart</w:t>
              <w:br/>
              <w:t>REI</w:t>
              <w:br/>
              <w:t>Ulta</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 Square</w:t>
              <w:br/>
              <w:t>   East Northport, NY 11731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1980, 2007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Aldi</w:t>
              <w:br/>
              <w:t>24 Hour Fitness</w:t>
              <w:br/>
              <w:t>AMC</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Melville Mall</w:t>
              <w:br/>
              <w:t>   Huntington, NY 11747(7)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Uncle Giuseppe's Marketplace</w:t>
              <w:br/>
              <w:t>Marshalls</w:t>
              <w:br/>
              <w:t>Dick's Sporting Goods</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Andorra</w:t>
              <w:br/>
              <w:t>   Philadelphia, PA 19128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TJ Maxx Kohl's</w:t>
              <w:br/>
              <w:t>L.A. Fitness</w:t>
              <w:br/>
              <w:t>Five Below</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on City Avenue</w:t>
              <w:br/>
              <w:t>   Bala Cynwyd, PA 19004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Acme Markets</w:t>
              <w:br/>
              <w:t>Michaels</w:t>
              <w:br/>
              <w:t xml:space="preserve">L.A. Fitness </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on City Avenue Residential</w:t>
              <w:br/>
              <w:t>   Bala Cynwyd, PA 19004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Flourtown</w:t>
              <w:br/>
              <w:t>   Flourtown, PA 19031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br/>
              <w:t xml:space="preserve">Movie Tavern </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Lancaster</w:t>
              <w:br/>
              <w:t>   Lancaster, PA 17601(7)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br/>
              <w:t>AutoZone</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Langhorne Square</w:t>
              <w:br/>
              <w:t>   Levittown, PA 19056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Redner's Warehouse Markets</w:t>
              <w:br/>
              <w:t>Marshalls</w:t>
              <w:br/>
              <w:t xml:space="preserve">Planet Fitness </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 Park</w:t>
              <w:br/>
              <w:t>   Broomall, PA 19008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1980/2017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Acme Markets</w:t>
              <w:br/>
              <w:t>TJ Maxx</w:t>
              <w:br/>
              <w:t>HomeGoods</w:t>
              <w:br/>
              <w:t>Barnes &amp; Noble</w:t>
              <w:br/>
              <w:t>Lankenau Medical Center</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Northeast</w:t>
              <w:br/>
              <w:t>   Philadelphia, PA 19114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Marshalls</w:t>
              <w:br/>
              <w:t>Ulta</w:t>
              <w:br/>
              <w:t>Skechers</w:t>
              <w:br/>
              <w:t>Crunch Fitness</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w:t>
              <w:br/>
              <w:t>   Willow Grove, PA 19090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Amazon Food</w:t>
              <w:br/>
              <w:t>Marshalls</w:t>
              <w:br/>
              <w:t>Five Below</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6"/>
        <w:gridCol w:w="383"/>
        <w:gridCol w:w="384"/>
        <w:gridCol w:w="109"/>
        <w:gridCol w:w="109"/>
        <w:gridCol w:w="109"/>
        <w:gridCol w:w="384"/>
        <w:gridCol w:w="384"/>
        <w:gridCol w:w="385"/>
        <w:gridCol w:w="109"/>
        <w:gridCol w:w="109"/>
        <w:gridCol w:w="109"/>
        <w:gridCol w:w="292"/>
        <w:gridCol w:w="292"/>
        <w:gridCol w:w="293"/>
        <w:gridCol w:w="109"/>
        <w:gridCol w:w="109"/>
        <w:gridCol w:w="109"/>
        <w:gridCol w:w="391"/>
        <w:gridCol w:w="331"/>
        <w:gridCol w:w="333"/>
        <w:gridCol w:w="109"/>
        <w:gridCol w:w="109"/>
        <w:gridCol w:w="109"/>
        <w:gridCol w:w="389"/>
        <w:gridCol w:w="389"/>
        <w:gridCol w:w="391"/>
        <w:gridCol w:w="109"/>
        <w:gridCol w:w="109"/>
        <w:gridCol w:w="109"/>
        <w:gridCol w:w="355"/>
        <w:gridCol w:w="355"/>
        <w:gridCol w:w="356"/>
        <w:gridCol w:w="109"/>
        <w:gridCol w:w="109"/>
        <w:gridCol w:w="109"/>
        <w:gridCol w:w="478"/>
        <w:gridCol w:w="424"/>
        <w:gridCol w:w="448"/>
      </w:tblGrid>
      <w:tr>
        <w:trPr/>
        <w:tc>
          <w:tcPr>
            <w:tcW w:w="80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Tenant(s)</w:t>
            </w:r>
          </w:p>
        </w:tc>
      </w:tr>
      <w:tr>
        <w:trPr/>
        <w:tc>
          <w:tcPr>
            <w:tcW w:w="157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Wynnewood</w:t>
              <w:br/>
              <w:t>   Wynnewood, PA 19096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br/>
              <w:t xml:space="preserve">Old Navy </w:t>
              <w:br/>
              <w:t xml:space="preserve">DSW </w:t>
            </w:r>
          </w:p>
        </w:tc>
      </w:tr>
      <w:tr>
        <w:trPr/>
        <w:tc>
          <w:tcPr>
            <w:tcW w:w="157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29th Place</w:t>
              <w:br/>
              <w:t>   Charlottesville, VA 22091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1975-2001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Lidl</w:t>
              <w:br/>
              <w:t>HomeGoods</w:t>
              <w:br/>
              <w:t>DSW</w:t>
              <w:br/>
              <w:t>Staples</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Barcroft Plaza</w:t>
              <w:br/>
              <w:t>   Falls Church, VA 22041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1963, 1972, 1990, &amp;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2006/2007/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Harris Teeter</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Barracks Road</w:t>
              <w:br/>
              <w:t>   Charlottesville, VA 22905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Harris Teeter </w:t>
              <w:br/>
              <w:t>Kroger</w:t>
              <w:br/>
              <w:t>Anthropologie</w:t>
              <w:br/>
              <w:t>Old Navy</w:t>
              <w:br/>
              <w:t>Ulta</w:t>
              <w:br/>
              <w:t>Michaels</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Birch &amp; Broad</w:t>
              <w:br/>
              <w:t>   Falls Church, VA 22046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1960/1962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1967/1972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Giant Food </w:t>
              <w:br/>
              <w:t>CVS</w:t>
              <w:br/>
              <w:t>Staples</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Chesterbrook</w:t>
              <w:br/>
              <w:t>   McLean, VA 22101(4)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Safeway</w:t>
              <w:br/>
              <w:t>Starbucks</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Fairfax Junction</w:t>
              <w:br/>
              <w:t>   Fairfax, VA 22030(8)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1981, 1986, 2000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Aldi</w:t>
              <w:br/>
              <w:t>CVS</w:t>
              <w:br/>
              <w:t>Planet Fitness</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Graham Park Plaza</w:t>
              <w:br/>
              <w:t>   Falls Church, VA 22042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Idylwood Plaza</w:t>
              <w:br/>
              <w:t>   Falls Church, VA 22030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Kingstowne Towne Center</w:t>
              <w:br/>
              <w:t>   Kingstowne, VA 22315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1996, 2001, 2006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br/>
              <w:t>Safeway</w:t>
              <w:br/>
              <w:t>TJ Maxx</w:t>
              <w:br/>
              <w:t>HomeGoods</w:t>
              <w:br/>
              <w:t>Ross Dress for Less</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 Vernon/South Valley/</w:t>
              <w:br/>
              <w:t>   7770 Richmond Hwy</w:t>
              <w:br/>
              <w:t>   Alexandria, VA 22306(8)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1966, </w:t>
              <w:br/>
              <w:t xml:space="preserve">1972,1987 </w:t>
              <w:br/>
              <w:t>&amp; 2001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2003/2006/2021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Shoppers Food Warehouse</w:t>
              <w:br/>
              <w:t>TJ Maxx</w:t>
              <w:br/>
              <w:t>Home Depot</w:t>
              <w:br/>
              <w:t>Old Navy</w:t>
              <w:br/>
              <w:t>Burlington</w:t>
              <w:br/>
              <w:t>Ulta</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Old Keene Mill</w:t>
              <w:br/>
              <w:t>   Springfield, VA 22152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Trader Joe's</w:t>
              <w:br/>
              <w:t>Walgreens</w:t>
              <w:br/>
              <w:t xml:space="preserve">Planet Fitness </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Pike 7 Plaza</w:t>
              <w:br/>
              <w:t>   Vienna, VA 22180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1997/2015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Lidl</w:t>
              <w:br/>
              <w:t>TJ Maxx</w:t>
              <w:br/>
              <w:t>DSW</w:t>
              <w:br/>
              <w:t>Ulta</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Providence Place (formerly Pan Am)</w:t>
              <w:br/>
              <w:t>   Fairfax, VA 22031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Safeway</w:t>
              <w:br/>
              <w:t>Micro Center</w:t>
              <w:br/>
              <w:t>CVS</w:t>
              <w:br/>
              <w:t>Michaels</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Tower Shopping Center</w:t>
              <w:br/>
              <w:t>   Springfield, VA 22150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 Mart</w:t>
              <w:br/>
              <w:t>Total Wine &amp; More</w:t>
              <w:br/>
              <w:t>Talbots</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Twinbrooke Centre</w:t>
              <w:br/>
              <w:t>   Fairfax, VA 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Safeway</w:t>
              <w:br/>
              <w:t>Outback Steakhouse</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Tyson's Station</w:t>
              <w:br/>
              <w:t>   Falls Church, VA 22043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Trader Joe's</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Village at Shirlington</w:t>
              <w:br/>
              <w:t>   Arlington, VA 22206(7)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1940, </w:t>
              <w:br/>
              <w:t>2006-2009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Harris Teeter</w:t>
              <w:br/>
              <w:t xml:space="preserve">CVS AMC </w:t>
              <w:br/>
              <w:t>Multiple Restaurants</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Virginia Gateway</w:t>
              <w:br/>
              <w:t>   Gainesville, VA 20015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1999, 2006-2008, 2013-2016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Giant Food</w:t>
              <w:br/>
              <w:t>HomeGoods</w:t>
              <w:br/>
              <w:t>Total Wine &amp; More</w:t>
              <w:br/>
              <w:t>Best Buy</w:t>
              <w:br/>
              <w:t>Ulta</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Westpost</w:t>
              <w:br/>
              <w:t>   Arlington, VA 22202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2001-2002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1998/2010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Harris Teeter</w:t>
              <w:br/>
              <w:t>Target</w:t>
              <w:br/>
              <w:t>TJ Maxx</w:t>
              <w:br/>
              <w:t>Ulta</w:t>
              <w:br/>
              <w:t>Walgreens</w:t>
              <w:br/>
              <w:t>DSW</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9"/>
        <w:gridCol w:w="474"/>
        <w:gridCol w:w="384"/>
        <w:gridCol w:w="109"/>
        <w:gridCol w:w="109"/>
        <w:gridCol w:w="109"/>
        <w:gridCol w:w="327"/>
        <w:gridCol w:w="327"/>
        <w:gridCol w:w="328"/>
        <w:gridCol w:w="109"/>
        <w:gridCol w:w="109"/>
        <w:gridCol w:w="109"/>
        <w:gridCol w:w="287"/>
        <w:gridCol w:w="287"/>
        <w:gridCol w:w="288"/>
        <w:gridCol w:w="109"/>
        <w:gridCol w:w="109"/>
        <w:gridCol w:w="109"/>
        <w:gridCol w:w="582"/>
        <w:gridCol w:w="354"/>
        <w:gridCol w:w="356"/>
        <w:gridCol w:w="109"/>
        <w:gridCol w:w="109"/>
        <w:gridCol w:w="109"/>
        <w:gridCol w:w="417"/>
        <w:gridCol w:w="417"/>
        <w:gridCol w:w="419"/>
        <w:gridCol w:w="109"/>
        <w:gridCol w:w="109"/>
        <w:gridCol w:w="109"/>
        <w:gridCol w:w="364"/>
        <w:gridCol w:w="364"/>
        <w:gridCol w:w="366"/>
        <w:gridCol w:w="109"/>
        <w:gridCol w:w="109"/>
        <w:gridCol w:w="109"/>
        <w:gridCol w:w="299"/>
        <w:gridCol w:w="299"/>
        <w:gridCol w:w="435"/>
      </w:tblGrid>
      <w:tr>
        <w:trPr/>
        <w:tc>
          <w:tcPr>
            <w:tcW w:w="86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City, State,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Feet(1) /Apartment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Base Rent Per Square Foot(2)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Leased(3)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Tenant(s)</w:t>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Lawn</w:t>
              <w:br/>
              <w:t>   Richmond, VA 23230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Kroger</w:t>
              <w:br/>
              <w:t>Old Navy</w:t>
              <w:br/>
              <w:t>Ross Dress for Less</w:t>
              <w:br/>
              <w:t>Gold's Gym</w:t>
              <w:br/>
              <w:t>Dick's Sporting Goods</w:t>
              <w:br/>
              <w:t>Ulta</w:t>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 Commercial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28,798,000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2,678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_____________________</w:t>
      </w:r>
    </w:p>
    <w:p>
      <w:pPr>
        <w:pStyle w:val="TextBody"/>
        <w:bidi w:val="0"/>
        <w:spacing w:lineRule="auto" w:line="288" w:before="10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the GLA of the commercial portion of the property. Some of our properties include office space which is included in this square footage.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(2)Average base rent per square foot is calculated as the aggregate, annualized in-place contractual (defined as cash basis excluding rent abatements) minimum rent for all occupied spaces divided by the aggregate GLA of all occupied spaces. Average base rent is for commercial spaces only.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(3)Percentage leased is expressed as a percentage of rentable commercial square feet occupied or subject to a lease. Residential percentage leased is expressed as a percentage of units occupied or subject to a lease.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(4)We own the controlling interest in this property.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own a noncontrolling interest in this property.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(6)All or a portion of this property is encumbered by a mortgage loan.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(7)All or a portion of this property is owned pursuant to a ground lease.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(8)We own all or a portion of this property in a “downREIT” partnership, of which a wholly owned subsidiary of the Trust is the sole general partner, with third party partners holding operating partnership units.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(9)Aggregate information is calculated on a GLA weighted-average basis, excluding Chandler Festival, Chandler Gateway, and La Alameda, which are all unconsolidated properties at December 31,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(10)Portion of property is currently under development. See further discussion in Item 7. Management's Discussion and Analysis of Financial Condition and Results of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(11)This property includes interests in four nearby buildings.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(12)This property includes 40 buildings primarily along Washington Street and 14th Street in Hoboken, New Jersey.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MARKET FOR OUR COMMON EQUITY AND RELATED SHAREHOLDER MATTERS AND ISSUER PURCHASES OF EQUITY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common shares trade on the New York Stock Exchange under the symbol “FRT.” Listed below are the high and low sales prices of our common shares as reported on the New York Stock Exchange and the dividends declared for each of the periods indicated.</w:t>
      </w:r>
    </w:p>
    <w:p>
      <w:pPr>
        <w:pStyle w:val="TextBody"/>
        <w:bidi w:val="0"/>
        <w:spacing w:lineRule="auto" w:line="288" w:before="0" w:after="0"/>
        <w:jc w:val="left"/>
        <w:rPr>
          <w:color w:val="000000"/>
        </w:rPr>
      </w:pPr>
      <w:r>
        <w:rPr>
          <w:color w:val="000000"/>
        </w:rPr>
        <w:t> </w:t>
      </w:r>
    </w:p>
    <w:tbl>
      <w:tblPr>
        <w:tblW w:w="5051" w:type="dxa"/>
        <w:jc w:val="left"/>
        <w:tblInd w:w="0" w:type="dxa"/>
        <w:tblLayout w:type="fixed"/>
        <w:tblCellMar>
          <w:top w:w="28" w:type="dxa"/>
          <w:left w:w="28" w:type="dxa"/>
          <w:bottom w:w="28" w:type="dxa"/>
          <w:right w:w="28" w:type="dxa"/>
        </w:tblCellMar>
      </w:tblPr>
      <w:tblGrid>
        <w:gridCol w:w="483"/>
        <w:gridCol w:w="423"/>
        <w:gridCol w:w="428"/>
        <w:gridCol w:w="211"/>
        <w:gridCol w:w="721"/>
        <w:gridCol w:w="109"/>
        <w:gridCol w:w="109"/>
        <w:gridCol w:w="109"/>
        <w:gridCol w:w="109"/>
        <w:gridCol w:w="211"/>
        <w:gridCol w:w="721"/>
        <w:gridCol w:w="109"/>
        <w:gridCol w:w="109"/>
        <w:gridCol w:w="109"/>
        <w:gridCol w:w="109"/>
        <w:gridCol w:w="211"/>
        <w:gridCol w:w="61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w:t>
              <w:br/>
              <w:t>Declared</w:t>
              <w:br/>
              <w:t>Per Share</w:t>
            </w:r>
          </w:p>
        </w:tc>
      </w:tr>
      <w:tr>
        <w:trPr/>
        <w:tc>
          <w:tcPr>
            <w:tcW w:w="1334"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On February 9, 2026, there were 1,780 holders of record of our common shares.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58 consecutive years.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total annual dividends paid per common share for 2025 and 2024 were $4.43 per share and $4.37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2026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income tax status of distributions per share paid to common shareholders:</w:t>
      </w:r>
    </w:p>
    <w:p>
      <w:pPr>
        <w:pStyle w:val="TextBody"/>
        <w:bidi w:val="0"/>
        <w:spacing w:lineRule="auto" w:line="288" w:before="0" w:after="0"/>
        <w:jc w:val="left"/>
        <w:rPr>
          <w:color w:val="000000"/>
        </w:rPr>
      </w:pPr>
      <w:r>
        <w:rPr>
          <w:color w:val="000000"/>
        </w:rPr>
        <w:t> </w:t>
      </w:r>
    </w:p>
    <w:tbl>
      <w:tblPr>
        <w:tblW w:w="3864" w:type="dxa"/>
        <w:jc w:val="left"/>
        <w:tblInd w:w="0" w:type="dxa"/>
        <w:tblLayout w:type="fixed"/>
        <w:tblCellMar>
          <w:top w:w="28" w:type="dxa"/>
          <w:left w:w="28" w:type="dxa"/>
          <w:bottom w:w="28" w:type="dxa"/>
          <w:right w:w="28" w:type="dxa"/>
        </w:tblCellMar>
      </w:tblPr>
      <w:tblGrid>
        <w:gridCol w:w="587"/>
        <w:gridCol w:w="515"/>
        <w:gridCol w:w="518"/>
        <w:gridCol w:w="211"/>
        <w:gridCol w:w="616"/>
        <w:gridCol w:w="109"/>
        <w:gridCol w:w="109"/>
        <w:gridCol w:w="109"/>
        <w:gridCol w:w="109"/>
        <w:gridCol w:w="211"/>
        <w:gridCol w:w="61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1620"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dividend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on our 5.417% Series 1 Cumulative Convertible Preferred Shares were paid at the rate of $1.354 per share per annum commencing on the issuance date of March 8, 2007. Distributions on our 5.0% Series C Cumulative Redeemable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Preferred Shares were paid at the rate of $1.250 per depositary share per annum, commencing on the issuance date of September 29, 2017.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Total Stockholder Return Performance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2020, and ending December 31, 2025,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pStyle w:val="TextBody"/>
        <w:bidi w:val="0"/>
        <w:spacing w:before="100" w:after="283"/>
        <w:jc w:val="center"/>
        <w:rPr/>
      </w:pPr>
      <w:r>
        <w:rPr/>
        <w:drawing>
          <wp:inline distT="0" distB="0" distL="0" distR="0">
            <wp:extent cx="6496050" cy="4438650"/>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6496050" cy="4438650"/>
                    </a:xfrm>
                    <a:prstGeom prst="rect">
                      <a:avLst/>
                    </a:prstGeom>
                  </pic:spPr>
                </pic:pic>
              </a:graphicData>
            </a:graphic>
          </wp:inline>
        </w:drawing>
      </w:r>
      <w:bookmarkStart w:id="0" w:name="i-1"/>
      <w:bookmarkEnd w:id="0"/>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 Sales of Unregistered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2025, no common shares in connection with the redemption of downREIT operating partnership units were issued. Any equity securities sold by us during 2025 that were not registered have been previously reported in a Quarterly Report on Form 10-Q.</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our Board of Trustees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general market conditions, along with our working capital requirements, cash flow, and other factors. The program does not require us to repurchase any dollar amount or number of common shares and may be suspended or discontinued at any time. As of December 31, 2025, no common shares have been repurchased through the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2025, 5,489 restricted common shares were forfeited by former employees.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could be deemed to have repurchased shares as a result of shares withheld for tax purposes upon a stock compensation related vesting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section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of Operations” in Part II, Item 7 of our Annual Report on Form 10-K for the fiscal year ended December 31, 2024 filed with the Securities and Exchange Commission on February 13,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 of,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These properties are located primarily in major coastal markets and select underserved markets that we believe have strong economic and demographic fundamentals.As of December 31, 2025, we owned or had a majority interest in community and neighborhood shopping centers and mixed-use properties which are operated as 104 predominantly retail real estate projects comprising approximately 28.8 million commercial square feet. In total, the real estate projects were 96.1% leased and 94.1% occupied at December 31, 2025. We have paid quarterly dividends to our shareholders continuously since our founding in 1962 and have increased our dividends per common share for 58 consecutive years.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General Economic Conditions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uncertainty continues within the macro-economic environment including concerns over inflation, changing interest rates, new or higher tariffs and their impact on trade and prices, increases or decreases in federal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economic environment. The extent of the future effects on our business, results of operations, cash flows, and growth strategies is highly uncertain and will ultimately depend on future developments, none of which can be predicted. </w:t>
      </w:r>
    </w:p>
    <w:p>
      <w:pPr>
        <w:pStyle w:val="TextBody"/>
        <w:bidi w:val="0"/>
        <w:spacing w:lineRule="auto" w:line="288" w:before="100" w:after="283"/>
        <w:jc w:val="left"/>
        <w:rPr/>
      </w:pPr>
      <w:r>
        <w:rPr>
          <w:rFonts w:ascii="Times New Roman;serif" w:hAnsi="Times New Roman;serif"/>
          <w:b w:val="false"/>
          <w:color w:val="000000"/>
          <w:sz w:val="20"/>
        </w:rPr>
        <w:t xml:space="preserve">Additional discussion of the impact of current economic conditions on our results and long-term operations can be found throughout Item 7 and </w:t>
      </w:r>
      <w:hyperlink w:anchor="i5132e083c0594d729405270ebbf0218e_19">
        <w:r>
          <w:rPr>
            <w:rStyle w:val="InternetLink"/>
            <w:rFonts w:ascii="Times New Roman;serif" w:hAnsi="Times New Roman;serif"/>
            <w:b w:val="false"/>
            <w:strike w:val="false"/>
            <w:dstrike w:val="false"/>
            <w:color w:val="000000"/>
            <w:sz w:val="20"/>
            <w:u w:val="none"/>
            <w:effect w:val="none"/>
          </w:rPr>
          <w:t>Item 1A</w:t>
        </w:r>
      </w:hyperlink>
      <w:r>
        <w:rPr>
          <w:rFonts w:ascii="Times New Roman;serif" w:hAnsi="Times New Roman;serif"/>
          <w:b w:val="false"/>
          <w:color w:val="000000"/>
          <w:sz w:val="20"/>
        </w:rPr>
        <w:t>. Risk Factors.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Corporate Responsibility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actively endeavor to operate and develop our properties in a sustainable, responsible, and effective manner with the objective being to drive long-term growth and aid in value creation for our shareholders, tenants, employees, and local communities. We have aligned our program and efforts with the United Nations Sustainable Development Goals, as described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our Sustainability Policy and our 2024 sustainability report, which are provided only for informational purposes on our website and not incorporated by reference herein.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implementing sustainable business practices at our operating properties that focus on energy efficiency, water conservation and waste minimization and have established greenhouse gas (GHG) emissions reduction targets in accordance with the Science-Based Targets initiative. To achieve this target, we are actively addressing energy efficiency projects on site such as upgrading to LED lighting, procuring zero carbon energy, reducing electric consumption, and increasing our onsite solar generation capacity. We have installed on-site solar systems at 28 of our properties with a capacity of 15.3 MW. We also installed electric vehicle car charging stations in numerous properties throughout our portfolio. We currently have nearly 500 charging stations in operation with more planned.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also understand that we face risks presented by climate change and are working to evaluate our risk exposure. In our 2024 sustainability report, we provided a disclosure pursuant to the Task Force on Climate Related Financial Disclosure and we intend to provide that disclosure annually.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highly committed to our employees and fostering a work environment that promotes growth, development and personal well-being. Our four core values are accountability, excellence, innovation and integrity and we seek to attract and retain talented professionals who embrace those values. All of our efforts with respect to corporate responsibility are overseen by our Board of Trustees.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development activities have been heavily focused on owning, developing and operating properties that are certified under the U.S. Green Building Council’s® (“USGBC”) Leadership in Energy and Environmental Design™ (LEED®) rating system which serves as a third-party verification that a building or community was designed and built to mitigate its environmental footprint. We currently have 25 LEED certified buildings and our Pike &amp; Rose project has achieved LEED for Neighborhood Development Stage 3 Gold certification.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are more fully described in Note 2 to the consolidated financial statements; however, the most critical accounting policies, which are most important to the portrayal of our financial condition and results of operations, and involve the use of complex estimates and significant assumptions as to future uncertainties and, therefore, may result in actual amounts that differ from estimates, are as follows: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Collectibility of Lease Income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leases with our tenants are classified as operating leases. When collection of substantially all lease payments during the lease term is considered probable, the lease qualifies for accrual accounting. 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collectibility determinations were not accurate and we were required to write off additional receivables equaling 1% of rental income, our rental income and net income would decrease by $12.5 million. If leases currently classified as not probable are subsequently changed to probable, any lease receivables (including straight-line rent receivables) are re-instated with a corresponding increase to rental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Real Estate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Upon acquisition of operating real estate properties, we estimate the fair value of assets and liabilities acquired including land, building, improvements, leasing costs, intangibles such as acquired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acquired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2025 and 2024, we acquired properties included in our consolidated financial statements with a total purchase price of $1.0 billion. $11.7 million, or 1% of the total purchase price was allocated to above market lease assets and $71.6 million, or 7% was allocated to below market lease liabilities. If the amounts allocated in 2025 and 2024 to below market lease liabilities and building assets were each reduced by 5% of the total purchase price, annual below market lease liability amortization increasing rental income would decrease by approximately $3.8 million (using the weighted average life of below market liabilities at each respective acquired property) and annual depreciation expense would decrease by approximately $1.5 million (using a depreciable life of 35 years).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Long-Lived Assets and Impairment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taking into account the anticipated hold period, including residual value, to the current net book value of the property. If the undiscounted cash flows are less than the net book value, the property is written down to expected fair value.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We are also required to estimate the anticipated hold period. A change in the expected holding period from a long term hold to a short term would cause a significant change in the undiscounted cash flows and could result in an impairment charge. Actual results could be significantly different from the estimates. These estimates have a direct impact on net income, because recording an impairment charge results in a negative adjustment to net income. During the fourth quarter of 2025, we recognized a $7.4 million impairment charge related to our North Dartmouth property, as a result of an impairment analysis.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Recently Adopted and Recently Issued Accounting Pronouncements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2 to the consolidated financial statements.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2025 and 2026 Acquisitions and Dispositions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acquired the following properties:</w:t>
      </w:r>
    </w:p>
    <w:tbl>
      <w:tblPr>
        <w:tblW w:w="10205" w:type="dxa"/>
        <w:jc w:val="left"/>
        <w:tblInd w:w="0" w:type="dxa"/>
        <w:tblLayout w:type="fixed"/>
        <w:tblCellMar>
          <w:top w:w="28" w:type="dxa"/>
          <w:left w:w="28" w:type="dxa"/>
          <w:bottom w:w="28" w:type="dxa"/>
          <w:right w:w="28" w:type="dxa"/>
        </w:tblCellMar>
      </w:tblPr>
      <w:tblGrid>
        <w:gridCol w:w="525"/>
        <w:gridCol w:w="440"/>
        <w:gridCol w:w="441"/>
        <w:gridCol w:w="109"/>
        <w:gridCol w:w="109"/>
        <w:gridCol w:w="109"/>
        <w:gridCol w:w="888"/>
        <w:gridCol w:w="869"/>
        <w:gridCol w:w="881"/>
        <w:gridCol w:w="109"/>
        <w:gridCol w:w="109"/>
        <w:gridCol w:w="109"/>
        <w:gridCol w:w="504"/>
        <w:gridCol w:w="485"/>
        <w:gridCol w:w="491"/>
        <w:gridCol w:w="109"/>
        <w:gridCol w:w="109"/>
        <w:gridCol w:w="109"/>
        <w:gridCol w:w="599"/>
        <w:gridCol w:w="599"/>
        <w:gridCol w:w="601"/>
        <w:gridCol w:w="109"/>
        <w:gridCol w:w="109"/>
        <w:gridCol w:w="109"/>
        <w:gridCol w:w="269"/>
        <w:gridCol w:w="786"/>
        <w:gridCol w:w="138"/>
        <w:gridCol w:w="109"/>
        <w:gridCol w:w="109"/>
        <w:gridCol w:w="163"/>
      </w:tblGrid>
      <w:tr>
        <w:trPr/>
        <w:tc>
          <w:tcPr>
            <w:tcW w:w="52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Leasable Area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 Price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 Monte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Monterey,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Town Center Crossing and Town Center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Leawood, 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Annapolis Town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Annapolis,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Village Pointe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Omaha, Nebraska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(1)Approximately $17.7 million and $0.8 million of net assets were allocated to other assets for "acquired lease costs" and "above market leases," respectively, and $23.5 million of net assets acquired were allocated to other liabilities for "below market leases."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(2)Approximately $31.0 million and $6.5 million of net assets were allocated to other assets for "acquired lease costs" and "above market leases," respectively, and $11.4 million of net assets acquired were allocated to other liabilities for "below market leases."</w:t>
      </w:r>
    </w:p>
    <w:p>
      <w:pPr>
        <w:pStyle w:val="TextBody"/>
        <w:bidi w:val="0"/>
        <w:spacing w:lineRule="auto" w:line="288" w:before="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(3)Approximately $18.0 million and $2.9 million of net assets acquired were allocated to other assets for "acquired lease costs" and "above market leases," respectively, and $9.0 million of net assets acquired were allocated to other liabilities for "below market leases."</w:t>
      </w:r>
    </w:p>
    <w:p>
      <w:pPr>
        <w:pStyle w:val="TextBody"/>
        <w:bidi w:val="0"/>
        <w:spacing w:lineRule="auto" w:line="288" w:before="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(4)Approximately $18.1 million and $1.0 million of net assets acquired were allocated to other assets for "acquired lease costs" and "above market leases," respectively, and $10.5 million of net assets acquired were allocated to other liabilities for "below market 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the following properties:</w:t>
      </w:r>
    </w:p>
    <w:tbl>
      <w:tblPr>
        <w:tblW w:w="6545" w:type="dxa"/>
        <w:jc w:val="left"/>
        <w:tblInd w:w="0" w:type="dxa"/>
        <w:tblLayout w:type="fixed"/>
        <w:tblCellMar>
          <w:top w:w="28" w:type="dxa"/>
          <w:left w:w="28" w:type="dxa"/>
          <w:bottom w:w="28" w:type="dxa"/>
          <w:right w:w="28" w:type="dxa"/>
        </w:tblCellMar>
      </w:tblPr>
      <w:tblGrid>
        <w:gridCol w:w="1194"/>
        <w:gridCol w:w="1048"/>
        <w:gridCol w:w="1058"/>
        <w:gridCol w:w="109"/>
        <w:gridCol w:w="109"/>
        <w:gridCol w:w="109"/>
        <w:gridCol w:w="250"/>
        <w:gridCol w:w="731"/>
        <w:gridCol w:w="128"/>
        <w:gridCol w:w="109"/>
        <w:gridCol w:w="109"/>
        <w:gridCol w:w="109"/>
        <w:gridCol w:w="250"/>
        <w:gridCol w:w="731"/>
        <w:gridCol w:w="129"/>
        <w:gridCol w:w="109"/>
        <w:gridCol w:w="109"/>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Pike &amp; Rose (one residential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Santana Row (one residential 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Hollywood Boulevard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Bristol Plaza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Marsh Other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5, 2026, we sold a residential building at our Santana Row property and our Courthouse Center property for sales prices totaling $158.5 million.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2025 Significant Debt and Equity Transactions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January 9, 2025 and October 1, 2025 we repaid two mortgage loans at our Hoboken property totaling $4.3 million,at par.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March 20, 2025, we amended and restated our $600.0 million unsecured term loan, extending the maturity date to March 20, 2028, plus two one-year extensions, at our option. We also had the right to borrow up to an additional $150.0 million, which we exercised on September 22, 2025, bringing our total amount outstanding under this agreement to $750.0 million as of December 31, 2025. Debt issuance costs related to our term loan were $4.9 million. Under an accordion feature, we have the right to request additional loans, subject to an aggregate maximum of $1.0 billion borrowed under the restated agreement. Additionally, on May 1, 2025, the interest rate was reduced by removing the 0.10% adjustment to SOFR.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October 30, 2025, we refinanced the $40.0 million mortgage loan at Azalea, with a new $55.0 million mortgage loan that bears interest at SOFR + 85 basis points, based on our credit rating, and matures on October 30, 2028, plus two one-year extensions, at our option. Debt issuance costs related to this mortgage loan were $0.6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17, 2025, we entered into an additional unsecured term loan agreement, which gives us the capacity to borrow up to $250.0 million at an interest rate of SOFR + 85 basis points, based on our current credit rating. The loan matures on January 31, 2031, and as of December 31, 2025, we do not have any outstanding borrowings under this agreement. Debt issuance costs related to this term loan were $1.5 million. Under an accordion feature, we have the right to request additional loans, subject to an aggregate maximum of $500.0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December 17, 2025, we exercised our first option to extend our $200.0 million mortgage loan at Bethesda Row by one year to December 28, 2026. We have one one-year extension, at our option remaining to extend the loan to December 28, 2027.</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2025, the maximum amount of borrowings outstanding under our revolving credit facility was $461.6 million. The weighted average amount of borrowings outstanding was $153.2 million, and the weighted average interest rate, before amortization of debt fees, was 5.0%. The revolving credit facility requires an annual facility fee which is $1.9 million under the amended credit agreement. At December 31, 2025, our revolving credit facility had $310.0 million outstanding. On October 30, 2025, the interest rate on our revolving credit facility was reduced by removing the 0.10% adjustment to SOFR.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term loans, and certain notes require us to comply with various financial covenants, including the maintenance of minimum shareholders’ equity and debt coverage ratios and a maximum ratio of debt to net worth. As of December 31, 2025, we were in compliance with all default related debt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potential acquisition opportunities, fund our development and redevelopment pipeline, repay indebtedness and/or for general corporate purposes. As of December 31, 2025, we have the capacity to issue up to $750.0 million in common shares under this program.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2025, we settled our open forward sales agreements by issuing 476,497 common shares for net proceeds of $54.2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April 2025, our Board of Trustees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December 31, 2025, no common shares have been repurchased through the program.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Transaction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June 2018, we formed a joint venture to develop Freedom Plaza (formerly Jordan Downs Plaza), for which we own 92%. The investment in this development qualified for tax credits under the New Market Tax Credit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for the year ended December 31, 2025, we recognized $14.2 million ($13.0 million, net of income attributable to noncontrolling interest) in income related to the sale of the new market tax credits.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Capitalized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external and internal costs directly related to the development, redevelopment and leasing of real estate, including pre-construction costs, real estate taxes, insurance, and construction costs and salaries and related costs of personnel directly involved, are capitalized. We capitalized external and internal costs related to both development and redevelopment activities of $185 million and $9 million, respectively, for 2025 and $136 million and $8 million, respectively, for 2024. We capitalized external and internal costs related to other property improvements of $105 million and $5 million, respectively, for 2025 and $103 million and $5 million, respectively, for 2024. We capitalized external and internal costs related to leasing activities of $19 million and $4 million, respectively, for 2025 and $27 million and $4 million, respectively, for 2024. The amount of capitalized internal costs for salaries and related benefits for development and redevelopment activities, other property improvements, and leasing activities were $8 million, $4 million, and $4 million, respectively, for both 2025 and 2024. Total capitalized costs were $326 million for 2025 and $283 million for 2024, respectively.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expansion of our portfolio through property acquisitions, and</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growth in our portfolio from property redevelopments and expansions.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general economic impacts of elevated levels of inflation and higher interest rates are impacting us in the short-term, our long-term focus has not changed.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2.3 million square feet of comparable space leasing we've completed in 2025, and the 2.0% spread between our leased rate of 96.1% and our occupied rate of 94.1%. However, the effects of inflationary pressures and elevated interest rates continue to negatively impact our business with the largest impacts being higher interest costs, increased material costs, and higher operating costs. Additionally, significant impacts from supply chain disruptions or tariffs could also result in extended time frames and/or increased costs for completion of our projects and tenant build-outs, which could delay the commencement of rent payments under new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Similarly, if our tenants experience significant disruptions in supply chains and unexpected impacts of tariffs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2025, no single tenant accounted for more than 2.4% of annualized base rent.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Phase IV at Pike &amp; Rose is a 272,000 square foot office building (which includes 10,000 square feet of ground floor retail space). All of the space is leased, of which, 249,000 square feet is occupied. The building is expected to cost between $180 million and $190 million, and began delivering in late September 2023.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Construction on Santana West includes an eight story 369,000 square foot office building, which is expected to cost between $325 million and $335 million. Approximately 345,000 square feet of space is leased, of which 317,000 square feet is occupied.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Construction of a 258-unit residential project at Santana Row, which is expected to cost between $140 million and $148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Throughout the portfolio, we currently have redevelopment projects underway with a projected total cost of approximately $304 million that we expect to stabilize over the next several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tariffs, higher interest rates, and higher operating costs.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the leasable commercial square feet in our properties was 96.1% leased and 94.1%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Comparable 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2025 and the comparison of 2024, all or a portion of 94 properties were considered comparable properties and seven were considered non-comparable properties. For the year ended December 31, 2025, one property was moved from comparable properties to non-comparable properties, and two properties and one portion of three properties were removed from comparable properties, as they were sold, compared to the designations as of December 31, 2024.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YEAR ENDED DECEMBER 31, 2025 COMPARED TO YEAR ENDED DECEMBER 31, 2024 </w:t>
      </w:r>
    </w:p>
    <w:p>
      <w:pPr>
        <w:pStyle w:val="TextBody"/>
        <w:bidi w:val="0"/>
        <w:spacing w:lineRule="auto" w:line="288" w:before="0" w:after="0"/>
        <w:jc w:val="left"/>
        <w:rPr>
          <w:color w:val="000000"/>
        </w:rPr>
      </w:pPr>
      <w:r>
        <w:rPr>
          <w:color w:val="000000"/>
        </w:rPr>
        <w:t> </w:t>
      </w:r>
    </w:p>
    <w:tbl>
      <w:tblPr>
        <w:tblW w:w="9896" w:type="dxa"/>
        <w:jc w:val="left"/>
        <w:tblInd w:w="0" w:type="dxa"/>
        <w:tblLayout w:type="fixed"/>
        <w:tblCellMar>
          <w:top w:w="28" w:type="dxa"/>
          <w:left w:w="28" w:type="dxa"/>
          <w:bottom w:w="28" w:type="dxa"/>
          <w:right w:w="28" w:type="dxa"/>
        </w:tblCellMar>
      </w:tblPr>
      <w:tblGrid>
        <w:gridCol w:w="1535"/>
        <w:gridCol w:w="1348"/>
        <w:gridCol w:w="1362"/>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307"/>
        <w:gridCol w:w="309"/>
        <w:gridCol w:w="316"/>
      </w:tblGrid>
      <w:tr>
        <w:trPr/>
        <w:tc>
          <w:tcPr>
            <w:tcW w:w="15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amounts 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operating income </w:t>
            </w:r>
            <w:r>
              <w:rPr>
                <w:rFonts w:ascii="Times New Roman;serif" w:hAnsi="Times New Roman;serif"/>
                <w:b w:val="false"/>
                <w:color w:val="000000"/>
                <w:sz w:val="18"/>
              </w:rPr>
              <w:t>(1)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Property operating income is a non-GAAP measure that consists of rental income and mortgage interest income, less rental expenses and real estate taxes. This measure is used internally to evaluate the performance of property operations to the previous period and we consider it be a significant measure. We believe that property operating income is useful to investors in measuring the operating performance of our property portfolio because the definition excludes various items included in operating income that do not relate to, or are not indicative of, the operating performance of our properties, such as general and administrative expenses and depreciation and amortization, and allows us to isolate disparities in operating income caused by acquisitions, dispositions, and stabilization of properties. Property operating income may, therefore, provide a more consistent metric for comparing the operating performance of our real estate between periods. Property operating income should not be considered an alternative measure of operating results or cash flow from operations as determined in accordance with GAAP. The reconciliation of operating income to property operating income for 2025 and 2024 is as follows:</w:t>
      </w:r>
    </w:p>
    <w:tbl>
      <w:tblPr>
        <w:tblW w:w="6471" w:type="dxa"/>
        <w:jc w:val="left"/>
        <w:tblInd w:w="0" w:type="dxa"/>
        <w:tblLayout w:type="fixed"/>
        <w:tblCellMar>
          <w:top w:w="28" w:type="dxa"/>
          <w:left w:w="28" w:type="dxa"/>
          <w:bottom w:w="28" w:type="dxa"/>
          <w:right w:w="28" w:type="dxa"/>
        </w:tblCellMar>
      </w:tblPr>
      <w:tblGrid>
        <w:gridCol w:w="1259"/>
        <w:gridCol w:w="1108"/>
        <w:gridCol w:w="1113"/>
        <w:gridCol w:w="109"/>
        <w:gridCol w:w="109"/>
        <w:gridCol w:w="109"/>
        <w:gridCol w:w="211"/>
        <w:gridCol w:w="826"/>
        <w:gridCol w:w="109"/>
        <w:gridCol w:w="109"/>
        <w:gridCol w:w="109"/>
        <w:gridCol w:w="109"/>
        <w:gridCol w:w="211"/>
        <w:gridCol w:w="82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0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Property Revenues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revenue increased $76.5 million, or 6.4%, to $1.28 billion in 2025 compared to $1.20 billion in 2024. The percentage occupied at our shopping centers was 94.1% at both December 31, 2025 and 2024. Rental income consists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revenues is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an increase of $49.2 million from 2025 and 2024 acquisitions,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an increase of $36.4 million from comparable properties primarily related to higher rental rates of approximately $14.5 million, an $11.9 million increase in recoveries from tenants primarily on higher expenses and occupancy, higher average occupancy of approximately $8.6 million, and a $2.0 million increase in parking income, partially offset by a $1.9 million increase in collectibility related adjustments, and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$8.3 million from non-comparable properties primarily driven by occupancy increases,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$15.8 million from property dispositions.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 increased $27.1 million, or 6.9%, to $418.9 million in 2025 compared to $391.8 million in 2024. Changes in the components of property expenses are discussed below.</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Rental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Rental expenses increased $17.9 million, or 7.2%, to $267.4 million in 2025 compared to $249.6 million in 2024.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and increase of $10.6 million from 2025 and 2024 acquisitions,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$7.3 million from comparable properties due primarily to higher snow removal, higher utilities, and an increase in management fees on higher revenues, partially offset by lower repairs and maintenance costs and insurance costs,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$4.2 million from non-comparable properties due primarily to openings at Santana West and Pike &amp; Rose Phase IV,</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$3.7 million from property dispositions.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changes in rental income and rental expenses as discussed above, rental expenses as a percentage of rental income increased to 21.5% for the year ended December 31, 2025 from 21.3% for the year ended December 31, 2024.</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Real Estate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Real estate tax expense increased $9.2 million, or 6.5% to $151.4 million in 2025 compared to $142.2 million in 2024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$5.6 million from 2025 and 2024 acquisitions,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$2.8 million from comparable properties due to higher assessments and prior year refunds received during 2024,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$2.6 million from non-comparable properties primarily due to openings at Santana West and Pike &amp; Rose Phase IV,</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$1.8 million from property dispositions.</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Property Operating Income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increased $49.4 million, or 6.1%, to $860.1 million in 2025 compared to $810.7 million in 2024. This increase is primarily driven by 2025 and 2024 acquisitions and higher rental rates and average occupancy, partially offset by property dispositions and higher collectibility related adjustments.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$2.8 million, or 5.7%, to $46.9 million in 2025 compared to $49.7 million in 2024. This decrease is primarily driven by the $3.7 million one-time charge in 2024 related to the departure of an executive officer, partially offset by higher employee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$25.2 million, or 7.4%, to $367.8 million in 2025 from $342.6 million in 2024. This increase is due primarily to 2025 and 2024 acquisitions and openings at Santana West and Pike &amp; Rose Phase IV, partially offset by fully depreciated lease assets related to our Grossmont property and property dispositions.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New Market Tax Credit Transaction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$14.2 million new market tax credit transaction income for the year ended December 31, 2025 is due to the sale of new market tax credits related to Freedom Plaza (see Note 7 to the consolidated financial statements for additional information).</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Gain on Sale of 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$150.1 million gain on sale of real estate for the year ended December 31, 2025 is due primarily to the sale of one residential building at both Santana Row and Pike &amp; Rose, our Bristol Plaza and Hollywood Boulevard properties, and a portion of our White Marsh Other property (see Note 3 to the consolidated financial statements for additional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$54.0 million gain on sale of real estate for the year ended December 31, 2024 is due primarily to the sale of Third Street Promenade and a portion of our White Marsh Other property (see Note 3 to the consolidated financial statements for additional information).</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Charge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$7.4 million impairment charge for the year ended December 31, 2025 relates to our North Dartmouth property.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increased $129.8 million, or 27.5%, to $602.2 million in 2025 compared to $472.4 million in 2024. This increase is primarily driven by higher gains on sale of real estate, higher rental rates and average occupancy, income related to the sale of the new market tax credits, and 2025 and 2024 acquisitions, partially offset by property dispositions, impairment charge, and higher collectibility related adjustments.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$8.1 million, or 4.6%, to $183.6 million in 2025 compared to $175.5 million in 2024. This increase is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$7.3 million in capitalized interest, and</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an increase of $6.2 million due to higher weighted average borrowings,</w:t>
      </w:r>
    </w:p>
    <w:p>
      <w:pPr>
        <w:pStyle w:val="TextBody"/>
        <w:bidi w:val="0"/>
        <w:spacing w:lineRule="auto" w:line="288" w:before="10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a decrease of $5.4 million due to a lower overall weighted average borrowing rate.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Gross interest costs were $196.8 million and $196.0 million in 2025 and 2024, respectively. Capitalized interest was $13.2 million and $20.5 million in 2025 and 2024, respectively.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increased $3.4 million, or 37.7%, to $12.6 million in 2025 compared to $9.1 million in 2024. The increase is primarily attributable to the new market tax credit transaction income in 2025, as well as higher income at our properties where there is a noncontrolling interest.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Discussions of year-to-year comparisons between 2024 and 2023 can be found in “Management’s Discussion and Analysis of Financial Condition and Results of Operations” in Part II, Item 7 of our Annual Report on Form 10-K for the fiscal year ended December 31, 2024 filed with the Securities and Exchange Commission on February 13, 2025.</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2025 were approximately $389.7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March 20, 2025, we amended and restated our $600.0 million unsecured term loan, extending the maturity date to March 20, 2028, plus two one-year extensions, at our option. We also increased the size of our term loan by $150.0 million, which we exercised in September 2025, bringing our total amount outstanding under this agreement to $750.0 million as of December 31, 2025. In October 2025, we refinanced the $40.0 million loan at Azalea, with a new $55.0 million mortgage loan. In the next twelve months, we have $652.4 million of debt maturing, of which $200.0 million is the mortgage loan secured by Bethesda Row, for which we have one additional one-year extension remaining, under which we could extend the maturity date to December 28, 2027.</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and cash equivalents of $107.4 million, $310.0 million outstanding on our $1.25 billion unsecured revolving credit facility, and the capacity to issue up to $750.0 million in common shares under the ATM program. We also have the ability to borrow $250.0 million through a new term loan agreement that we entered into on November 17, 2025 (see Note 5 to our consolidated financial statements for additional information); we expect to borrow the $250.0 million in February 2026 to fund debt maturities.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2025, the weighted average amount of borrowings outstanding on our revolving credit facility was $153.2 million, and the weighted average interest rate, before amortization of debt fees, was 5.0%.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capital requirements in 2026 will depend on acquisition opportunities, the level and general timing of our redevelopment and development activities, and the overall economic environment. We currently have development and redevelopment projects in various stages of construction with remaining costs of $322 million. We expect to incur the majority of those costs in the next two years. We expect other capital costs (excluding acquisitions) to be at levels consistent with 2025. During 2025, we acquired properties for $752.8 million, and will continue to evaluate additional opportunities in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cash flow from operations, the cash on our balance sheet, and our $1.25 billion revolving credit facility will allow us to continue to operate our business in the short-term. Given our ability to access the capital markets, we also expect debt or equity financing to be available to us, although newly issued debt would likely be at higher interest rates than the debt we are refinancing.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Summary of Cash Flows</w:t>
      </w:r>
    </w:p>
    <w:p>
      <w:pPr>
        <w:pStyle w:val="TextBody"/>
        <w:bidi w:val="0"/>
        <w:spacing w:lineRule="auto" w:line="288" w:before="0" w:after="0"/>
        <w:jc w:val="left"/>
        <w:rPr>
          <w:color w:val="000000"/>
        </w:rPr>
      </w:pPr>
      <w:r>
        <w:rPr>
          <w:color w:val="000000"/>
        </w:rPr>
        <w:t> </w:t>
      </w:r>
    </w:p>
    <w:tbl>
      <w:tblPr>
        <w:tblW w:w="9191" w:type="dxa"/>
        <w:jc w:val="left"/>
        <w:tblInd w:w="0" w:type="dxa"/>
        <w:tblLayout w:type="fixed"/>
        <w:tblCellMar>
          <w:top w:w="28" w:type="dxa"/>
          <w:left w:w="28" w:type="dxa"/>
          <w:bottom w:w="28" w:type="dxa"/>
          <w:right w:w="28" w:type="dxa"/>
        </w:tblCellMar>
      </w:tblPr>
      <w:tblGrid>
        <w:gridCol w:w="1840"/>
        <w:gridCol w:w="1620"/>
        <w:gridCol w:w="1624"/>
        <w:gridCol w:w="211"/>
        <w:gridCol w:w="826"/>
        <w:gridCol w:w="109"/>
        <w:gridCol w:w="109"/>
        <w:gridCol w:w="109"/>
        <w:gridCol w:w="109"/>
        <w:gridCol w:w="211"/>
        <w:gridCol w:w="826"/>
        <w:gridCol w:w="109"/>
        <w:gridCol w:w="109"/>
        <w:gridCol w:w="109"/>
        <w:gridCol w:w="109"/>
        <w:gridCol w:w="211"/>
        <w:gridCol w:w="79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$47.8 million to $622.4 million during 2025 from $574.6 million during 2024. The increase was primarily attributable to higher net income after adjusting for non-cash items and gains on sale of real estate and the timing of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$296.2 million to $743.1 million during 2025 from $446.8 million during 2024. The increase was primarily attributable to:</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$461.3 million increase in acquisition of real estate primarily due to the acquisitions of the fee interest in Village Pointe in November 2025, Annapolis Town Center in October 2025, Town Center Crossing and Town Center Plaza in July 2025 and Del Monte Shopping Center in February 2025 (see Note 3 to the consolidated financial statements for additional information), as compared to the acquisitions of the fee interest in Virginia Gateway in May 2024 and Pinole Vista Crossing in July 2024,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$44.6 million increase in capital expenditures,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$205.7 million increase in net proceeds from the sale of real estate primarily due to $305.6 million of net proceeds from the sale of a residential building at both Santana Row and Pike &amp; Rose, our Hollywood Boulevard and Bristol properties, and a portion of our White Marsh Other property in 2025, as compared to $99.9 million of net proceeds from the sale of Third Street Promenade and a portion of our White Marsh Other property in 2024.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$355.3 million to $103.0 million provided by financing activities during 2025 from $252.3 million used in financing activities during 2024. The decrease was primarily attributable to:</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$600.0 million from the January 2024 repayment of our $600.0 million 3.95% senior unsecured notes at maturity,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$310.0 million in borrowings on our revolving credit facility at December 31, 2025,</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$145.0 million in net proceeds from our unsecured term loan in 2025,</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$19.4 million premium paid for the capped call transactions entered into in connection with the issuance of $485.0 million 3.25% exchangeable senior notes in January 2024, and</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$14.4 million in net proceeds from the refinance of the $40.0 million loan at Azalea, with a new $55.0 million mortgage loan (see Note 5 to the consolidated financial statements for additional information),</w:t>
      </w:r>
    </w:p>
    <w:p>
      <w:pPr>
        <w:pStyle w:val="TextBody"/>
        <w:bidi w:val="0"/>
        <w:spacing w:lineRule="auto" w:line="256"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$471.5 million in net proceeds from the issuance of $485.0 million 3.25% exchangeable senior notes in January 2024,</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$249.6 million decrease in net proceeds from the issuance of common shares under our ATM program, and</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$16.5 million increase in dividends paid to common and preferred shareholders due to an increase in the number of outstanding shares, as well as an increase to the common share dividend rate.</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Cash Requirements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material cash requirements comprising our fixed, noncancelable obligations as of December 31, 2025:</w:t>
      </w:r>
    </w:p>
    <w:tbl>
      <w:tblPr>
        <w:tblW w:w="10205" w:type="dxa"/>
        <w:jc w:val="left"/>
        <w:tblInd w:w="0" w:type="dxa"/>
        <w:tblLayout w:type="fixed"/>
        <w:tblCellMar>
          <w:top w:w="28" w:type="dxa"/>
          <w:left w:w="28" w:type="dxa"/>
          <w:bottom w:w="28" w:type="dxa"/>
          <w:right w:w="28" w:type="dxa"/>
        </w:tblCellMar>
      </w:tblPr>
      <w:tblGrid>
        <w:gridCol w:w="2023"/>
        <w:gridCol w:w="1511"/>
        <w:gridCol w:w="1521"/>
        <w:gridCol w:w="211"/>
        <w:gridCol w:w="976"/>
        <w:gridCol w:w="109"/>
        <w:gridCol w:w="109"/>
        <w:gridCol w:w="109"/>
        <w:gridCol w:w="109"/>
        <w:gridCol w:w="253"/>
        <w:gridCol w:w="994"/>
        <w:gridCol w:w="131"/>
        <w:gridCol w:w="109"/>
        <w:gridCol w:w="109"/>
        <w:gridCol w:w="109"/>
        <w:gridCol w:w="286"/>
        <w:gridCol w:w="1324"/>
        <w:gridCol w:w="212"/>
      </w:tblGrid>
      <w:tr>
        <w:trPr/>
        <w:tc>
          <w:tcPr>
            <w:tcW w:w="202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0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Requirements by Period</w:t>
            </w:r>
          </w:p>
        </w:tc>
      </w:tr>
      <w:tr>
        <w:trPr/>
        <w:tc>
          <w:tcPr>
            <w:tcW w:w="5055"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Next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Twelve Months</w:t>
            </w:r>
          </w:p>
        </w:tc>
      </w:tr>
      <w:tr>
        <w:trPr/>
        <w:tc>
          <w:tcPr>
            <w:tcW w:w="5055" w:type="dxa"/>
            <w:gridSpan w:val="3"/>
            <w:vMerge w:val="continue"/>
            <w:tcBorders/>
            <w:tcMar>
              <w:top w:w="0" w:type="dxa"/>
              <w:left w:w="0" w:type="dxa"/>
              <w:bottom w:w="0" w:type="dxa"/>
              <w:right w:w="0" w:type="dxa"/>
            </w:tcMar>
            <w:vAlign w:val="center"/>
          </w:tcPr>
          <w:p>
            <w:pPr>
              <w:pStyle w:val="Normal"/>
              <w:bidi w:val="0"/>
              <w:jc w:val="left"/>
              <w:rPr/>
            </w:pPr>
            <w:r>
              <w:rPr/>
            </w:r>
          </w:p>
        </w:tc>
        <w:tc>
          <w:tcPr>
            <w:tcW w:w="51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and variable rate debt (principal only)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655,595 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4,308,007 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and variable rate debt - our share of unconsolidated real estate partnerships (principal only)(2)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 (minimum rental payments) (3)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Redevelopments/capital expenditure contracts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commitments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cash requirements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5,631,920 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903,417 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4,728,503 </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_____________________</w:t>
      </w:r>
    </w:p>
    <w:p>
      <w:pPr>
        <w:pStyle w:val="TextBody"/>
        <w:bidi w:val="0"/>
        <w:spacing w:lineRule="auto" w:line="288"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weighted average interest rate on our fixed and variable rate debt is 3.8% as of December 31, 2025. Of the $655.6 million of debt maturing in the next twelve months as of December 31, 2025, $200.0 million is our mortgage loan secured by Bethesda Row which has a one-year extension, at our option, to extend the loan to December 2027.</w:t>
      </w:r>
    </w:p>
    <w:p>
      <w:pPr>
        <w:pStyle w:val="TextBody"/>
        <w:bidi w:val="0"/>
        <w:spacing w:lineRule="auto" w:line="288"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weighted average interest rate on the fixed and variable rate debt related to our unconsolidated real estate partnerships is 4.79% as of December 31, 2025.</w:t>
      </w:r>
    </w:p>
    <w:p>
      <w:pPr>
        <w:pStyle w:val="TextBody"/>
        <w:bidi w:val="0"/>
        <w:spacing w:lineRule="auto" w:line="288"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(3)This includes minimum rental payments related to both finance and operating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(4)On January 6, 2026, we purchased the fee interest under one of our ground leases at Bethesda Row for $2.5 million.The total also includes the liability related to the sale under threat of condemnation at San Antonio Center as further discussed in Note 7 to the consolidated financial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amounts set forth in the table above and other liquidity requirements previously discussed, the following potential commitments exist: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2025, our estimated liability upon exercise of the put option would range from approximately $62 million to $63 million.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(b)</w:t>
      </w:r>
      <w:r>
        <w:rPr>
          <w:rFonts w:ascii="Times New Roman;serif" w:hAnsi="Times New Roman;serif"/>
          <w:b w:val="false"/>
          <w:color w:val="000000"/>
          <w:sz w:val="20"/>
        </w:rPr>
        <w:t>Under the terms of various other partnership agreements, the partners have the right to exchange their operating partnership units for cash or the same number of our common shares, at our option. As of December 31, 2025, a total of 526,915 downREIT operating partnership units are outstanding.</w:t>
      </w:r>
    </w:p>
    <w:p>
      <w:pPr>
        <w:pStyle w:val="TextBody"/>
        <w:bidi w:val="0"/>
        <w:spacing w:lineRule="auto" w:line="288" w:before="100" w:after="283"/>
        <w:ind w:left="0" w:right="0" w:firstLine="45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2025, our estimated maximum liability upon exercise of the put option would range from $9 million to $10 million.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(d)</w:t>
      </w:r>
      <w:r>
        <w:rPr>
          <w:rFonts w:ascii="Times New Roman;serif" w:hAnsi="Times New Roman;serif"/>
          <w:b w:val="false"/>
          <w:color w:val="000000"/>
          <w:sz w:val="20"/>
        </w:rPr>
        <w:t>The other member in Hoboken has the right to require us to purchase all of its 10% ownership interest at the interest's then-current fair market value. Based on management's current estimate of fair market value as of December 31, 2025, our estimated maximum liability upon exercise of the put option would range from $12 million to $13 million.</w:t>
      </w:r>
    </w:p>
    <w:p>
      <w:pPr>
        <w:pStyle w:val="TextBody"/>
        <w:bidi w:val="0"/>
        <w:spacing w:lineRule="auto" w:line="288" w:before="100" w:after="283"/>
        <w:ind w:left="0" w:right="0" w:firstLine="450"/>
        <w:jc w:val="left"/>
        <w:rPr/>
      </w:pPr>
      <w:r>
        <w:rPr>
          <w:rFonts w:ascii="Times New Roman;serif" w:hAnsi="Times New Roman;serif"/>
          <w:b w:val="false"/>
          <w:color w:val="000000"/>
          <w:sz w:val="20"/>
        </w:rPr>
        <w:t>(e)</w:t>
      </w:r>
      <w:r>
        <w:rPr>
          <w:rFonts w:ascii="Times New Roman;serif" w:hAnsi="Times New Roman;serif"/>
          <w:b w:val="false"/>
          <w:color w:val="000000"/>
          <w:sz w:val="20"/>
        </w:rPr>
        <w:t>Effective June 14, 2026, the other member in Camelback Colonnade and Hilton Village has the right to require us to purchase all of its 2.0% ownership interest at the interest's then-current fair market value. Based on management's current estimate of fair value as of December 31, 2025, our estimated maximum liability upon exercise of the put option would range from $4 million to $5 million.</w:t>
      </w:r>
    </w:p>
    <w:p>
      <w:pPr>
        <w:pStyle w:val="TextBody"/>
        <w:bidi w:val="0"/>
        <w:spacing w:lineRule="auto" w:line="288" w:before="100" w:after="283"/>
        <w:ind w:left="0" w:right="0" w:firstLine="450"/>
        <w:jc w:val="left"/>
        <w:rPr/>
      </w:pPr>
      <w:r>
        <w:rPr>
          <w:rFonts w:ascii="Times New Roman;serif" w:hAnsi="Times New Roman;serif"/>
          <w:b w:val="false"/>
          <w:color w:val="000000"/>
          <w:sz w:val="20"/>
        </w:rPr>
        <w:t>(f)</w:t>
      </w:r>
      <w:r>
        <w:rPr>
          <w:rFonts w:ascii="Times New Roman;serif" w:hAnsi="Times New Roman;serif"/>
          <w:b w:val="false"/>
          <w:color w:val="000000"/>
          <w:sz w:val="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2025, our estimated maximum liability upon exercise of the put option would range from $1 million and $2 million.</w:t>
      </w:r>
    </w:p>
    <w:p>
      <w:pPr>
        <w:pStyle w:val="TextBody"/>
        <w:bidi w:val="0"/>
        <w:spacing w:lineRule="auto" w:line="288" w:before="100" w:after="283"/>
        <w:ind w:left="0" w:right="0" w:firstLine="450"/>
        <w:jc w:val="left"/>
        <w:rPr/>
      </w:pPr>
      <w:r>
        <w:rPr>
          <w:rFonts w:ascii="Times New Roman;serif" w:hAnsi="Times New Roman;serif"/>
          <w:b w:val="false"/>
          <w:color w:val="000000"/>
          <w:sz w:val="20"/>
        </w:rPr>
        <w:t>(g)</w:t>
      </w:r>
      <w:r>
        <w:rPr>
          <w:rFonts w:ascii="Times New Roman;serif" w:hAnsi="Times New Roman;serif"/>
          <w:b w:val="false"/>
          <w:color w:val="000000"/>
          <w:sz w:val="20"/>
        </w:rPr>
        <w:t>Effective June 1, 2029, the other member in Grossmont Center has the right to require us to purchase all of its 40.0% ownership interest at the interest's then-current fair market value. Based on management's current estimate of fair value as of December 31, 2025, our estimated maximum liability upon exercise of the put option would range from $68 million to $73 million.</w:t>
      </w:r>
    </w:p>
    <w:p>
      <w:pPr>
        <w:pStyle w:val="TextBody"/>
        <w:bidi w:val="0"/>
        <w:spacing w:lineRule="auto" w:line="288" w:before="100" w:after="283"/>
        <w:ind w:left="0" w:right="0" w:firstLine="450"/>
        <w:jc w:val="left"/>
        <w:rPr/>
      </w:pPr>
      <w:r>
        <w:rPr>
          <w:rFonts w:ascii="Times New Roman;serif" w:hAnsi="Times New Roman;serif"/>
          <w:b w:val="false"/>
          <w:color w:val="000000"/>
          <w:sz w:val="20"/>
        </w:rPr>
        <w:t>(h)</w:t>
      </w:r>
      <w:r>
        <w:rPr>
          <w:rFonts w:ascii="Times New Roman;serif" w:hAnsi="Times New Roman;serif"/>
          <w:b w:val="false"/>
          <w:color w:val="000000"/>
          <w:sz w:val="20"/>
        </w:rPr>
        <w:t>At December 31, 2025, we had letters of credit outstanding of approximately $5.5 million.</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we have four real estate related equity method investments with total debt outstanding of $151.1 million, of which our share is $62.4 million. Our investment in these ventures at December 31, 2025 was $27.9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than the items disclosed in the Cash Requirements table, we have no off-balance sheet arrangements as of December 31, 2025 that are reasonably likely to have a current or future material effect on our financial condition, changes in financial condition, revenues or expenses, results of operations, liquidity, cash requirements, or capital resources.</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Financing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total debt outstanding as of December 31, 2025:</w:t>
      </w:r>
    </w:p>
    <w:tbl>
      <w:tblPr>
        <w:tblW w:w="10205" w:type="dxa"/>
        <w:jc w:val="left"/>
        <w:tblInd w:w="0" w:type="dxa"/>
        <w:tblLayout w:type="fixed"/>
        <w:tblCellMar>
          <w:top w:w="28" w:type="dxa"/>
          <w:left w:w="28" w:type="dxa"/>
          <w:bottom w:w="28" w:type="dxa"/>
          <w:right w:w="28" w:type="dxa"/>
        </w:tblCellMar>
      </w:tblPr>
      <w:tblGrid>
        <w:gridCol w:w="820"/>
        <w:gridCol w:w="700"/>
        <w:gridCol w:w="705"/>
        <w:gridCol w:w="109"/>
        <w:gridCol w:w="109"/>
        <w:gridCol w:w="109"/>
        <w:gridCol w:w="368"/>
        <w:gridCol w:w="368"/>
        <w:gridCol w:w="258"/>
        <w:gridCol w:w="109"/>
        <w:gridCol w:w="109"/>
        <w:gridCol w:w="109"/>
        <w:gridCol w:w="349"/>
        <w:gridCol w:w="1581"/>
        <w:gridCol w:w="194"/>
        <w:gridCol w:w="109"/>
        <w:gridCol w:w="109"/>
        <w:gridCol w:w="109"/>
        <w:gridCol w:w="555"/>
        <w:gridCol w:w="460"/>
        <w:gridCol w:w="1091"/>
        <w:gridCol w:w="109"/>
        <w:gridCol w:w="109"/>
        <w:gridCol w:w="109"/>
        <w:gridCol w:w="421"/>
        <w:gridCol w:w="421"/>
        <w:gridCol w:w="606"/>
      </w:tblGrid>
      <w:tr>
        <w:trPr/>
        <w:tc>
          <w:tcPr>
            <w:tcW w:w="82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r>
      <w:tr>
        <w:trPr/>
        <w:tc>
          <w:tcPr>
            <w:tcW w:w="2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 Gardens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2026</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28, 2026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Plaza El Segundo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5, 2027</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Grove at Shrewsbury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1, 2027</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Azalea (2)(3)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30, 2028</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Brook 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1, 2029</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Hoboken (24 Buildings)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SOFR + 1.95%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15, 2029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Hoboken (12 Buildings)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 through 2029</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15, 2031</w:t>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523,212 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521,759 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5, 2027</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$750 million term loan (2)(7)(8)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20, 2028</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 million term loan (2)(7)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31, 2031</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 through 2059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1,061,190 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1,057,331 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notes and debentures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15, 2026</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7.48%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15, 2027</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6.82% medium term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2027</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5.375%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 2028</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exchangeable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15, 2029</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15, 2029</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 2030</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 2044</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2046</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3,379,200 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notes and debentures,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3,364,010 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5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4,943,100</w:t>
            </w:r>
            <w:r>
              <w:rPr>
                <w:color w:val="000000"/>
              </w:rPr>
              <w:t> </w:t>
            </w:r>
          </w:p>
        </w:tc>
        <w:tc>
          <w:tcPr>
            <w:tcW w:w="1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(1)We have one one-year extension, at our option to extend the maturity date of this mortgage loan to December 28, 2027.</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(2)Our Azalea mortgage loan, revolving credit facility SOFR loans, and our term loans bear interest at Daily Simple SOFR, as defined in the respective credit agreements, plus a spread, based on our current credit rating.</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(3)The Operating Partnership is a co-borrower on this mortgage loan. Additionally, we have two one-year extensions, at our option to extend the maturity date of this mortgage loan to October 30, 2030.</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(4)The interest rate on this mortgage loan is fixed at 3.67% through two interest rate swap agreements.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interest rates on these mortgages range from 3.91% to 5.00%.</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(6)The maximum amount drawn under our $1.25 billion revolving credit facility during 2025 was $461.6 million and the weighted average effective interest rate on borrowings under our revolving credit facility, before amortization of debt fees, was 5.0%.</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(7)The Operating Partnership is the obligor under our revolving credit facility, term loans, senior notes and debentures. A wholly owned subsidiary of the Operating Partnership is also an obligor of the $750.0 million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(8)The interest rate on $450.0 million of our term loan is fixed at a weighted average interest rate of 4.17% through March 1, 2028 through interest rate swap agreements.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unsecured term loans, and other debt agreements include financial and other covenants that may limit our operating activities in the future. As of December 31, 2025, we were in compliance with all financial and other covenants related to our revolving credit facility, term loans,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scheduled principal repayments as of December 31, 2025:</w:t>
      </w:r>
    </w:p>
    <w:p>
      <w:pPr>
        <w:pStyle w:val="TextBody"/>
        <w:bidi w:val="0"/>
        <w:spacing w:lineRule="auto" w:line="288" w:before="0" w:after="0"/>
        <w:jc w:val="left"/>
        <w:rPr>
          <w:color w:val="000000"/>
        </w:rPr>
      </w:pPr>
      <w:r>
        <w:rPr>
          <w:color w:val="000000"/>
        </w:rPr>
        <w:t> </w:t>
      </w:r>
    </w:p>
    <w:tbl>
      <w:tblPr>
        <w:tblW w:w="5719"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10"/>
        <w:gridCol w:w="110"/>
        <w:gridCol w:w="110"/>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(1)Our $200.0 million mortgage loan secured by Bethesda Row matures on December 28, 2026 plus one one-year extension, at our option to December 28, 2027.</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(2)Our $1.25 billion revolving credit facility matures on April 5, 2027 plus two six-month extensions, at our option to April 5, 2028. As of December 31, 2025, there was $310.0 million outstanding under this credit facility.</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(3)Our $750.0 million term loan matures on March 20, 2028, plus two one-year extensions at our option to March 20, 2030.</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(4)Our $55.0 million mortgage loan secured by Azalea matures on October 30, 2028, plus two one-year extensions at our option to October 30, 2030.</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total debt maturities differ from the total reported on the consolidated balance sheet due to the unamortized net debt issuance costs and premium/discount on mortgage loans, notes payable, and senior notes as of December 31, 2025.</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Hedging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on the balance sheets, statement of shareholders' equity, and statement of capital.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we have interest rate swap agreements that effectively fix the rate on the following debt instruments:</w:t>
      </w:r>
    </w:p>
    <w:tbl>
      <w:tblPr>
        <w:tblW w:w="10205" w:type="dxa"/>
        <w:jc w:val="left"/>
        <w:tblInd w:w="0" w:type="dxa"/>
        <w:tblLayout w:type="fixed"/>
        <w:tblCellMar>
          <w:top w:w="28" w:type="dxa"/>
          <w:left w:w="28" w:type="dxa"/>
          <w:bottom w:w="28" w:type="dxa"/>
          <w:right w:w="28" w:type="dxa"/>
        </w:tblCellMar>
      </w:tblPr>
      <w:tblGrid>
        <w:gridCol w:w="452"/>
        <w:gridCol w:w="339"/>
        <w:gridCol w:w="337"/>
        <w:gridCol w:w="232"/>
        <w:gridCol w:w="232"/>
        <w:gridCol w:w="234"/>
        <w:gridCol w:w="109"/>
        <w:gridCol w:w="109"/>
        <w:gridCol w:w="109"/>
        <w:gridCol w:w="601"/>
        <w:gridCol w:w="1755"/>
        <w:gridCol w:w="313"/>
        <w:gridCol w:w="109"/>
        <w:gridCol w:w="109"/>
        <w:gridCol w:w="109"/>
        <w:gridCol w:w="449"/>
        <w:gridCol w:w="396"/>
        <w:gridCol w:w="990"/>
        <w:gridCol w:w="109"/>
        <w:gridCol w:w="109"/>
        <w:gridCol w:w="109"/>
        <w:gridCol w:w="837"/>
        <w:gridCol w:w="837"/>
        <w:gridCol w:w="839"/>
        <w:gridCol w:w="109"/>
        <w:gridCol w:w="109"/>
        <w:gridCol w:w="163"/>
      </w:tblGrid>
      <w:tr>
        <w:trPr/>
        <w:tc>
          <w:tcPr>
            <w:tcW w:w="4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Debt </w:t>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of Related Swap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 of Related Swap Agreements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 million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Hoboken mortgage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9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Unconsolidated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Assembly Row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30, 2028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Chandler Festival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9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4, 2030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Chandler Gateway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4, 2030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2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All swaps were designated and qualify as cash flow hedges. Hedge ineffectiveness has not impacted earnings in 2025, 2024 and 2023.</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REIT Qualification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Funds From Operations</w:t>
      </w:r>
    </w:p>
    <w:p>
      <w:pPr>
        <w:pStyle w:val="TextBody"/>
        <w:bidi w:val="0"/>
        <w:spacing w:lineRule="auto" w:line="288" w:before="100" w:after="283"/>
        <w:jc w:val="left"/>
        <w:rPr/>
      </w:pPr>
      <w:r>
        <w:rPr>
          <w:rFonts w:ascii="Times New Roman;serif" w:hAnsi="Times New Roman;serif"/>
          <w:b w:val="false"/>
          <w:color w:val="000000"/>
          <w:sz w:val="20"/>
        </w:rPr>
        <w:t xml:space="preserve">Nareit Funds From Operations (“Nareit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Nareit FFO in accordance with the Nareit definition, and we have historically reported our Nareit FFO available for common shareholders in addition to our net income and net cash provided by operating activities. It should be noted that </w:t>
      </w:r>
      <w:r>
        <w:rPr>
          <w:rFonts w:ascii="Times New Roman;serif" w:hAnsi="Times New Roman;serif"/>
          <w:b w:val="false"/>
          <w:color w:val="000000"/>
          <w:sz w:val="18"/>
        </w:rPr>
        <w:t xml:space="preserve">Nareit </w:t>
      </w:r>
      <w:r>
        <w:rPr>
          <w:rFonts w:ascii="Times New Roman;serif" w:hAnsi="Times New Roman;serif"/>
          <w:b w:val="false"/>
          <w:color w:val="000000"/>
          <w:sz w:val="20"/>
        </w:rPr>
        <w:t>FFO:</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consider Nareit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Nareit FFO primarily as one of several means of assessing our operating performance in comparison with other REITs. Comparison of our presentation of Nareit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An increase or decrease in Nareit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Nareit FFO will generally require an increase in distributions to shareholders although not necessarily on a proportionate basis.</w:t>
      </w:r>
    </w:p>
    <w:p>
      <w:pPr>
        <w:pStyle w:val="TextBody"/>
        <w:bidi w:val="0"/>
        <w:spacing w:lineRule="auto" w:line="288" w:before="180" w:after="283"/>
        <w:jc w:val="left"/>
        <w:rPr/>
      </w:pPr>
      <w:r>
        <w:rPr>
          <w:rFonts w:ascii="Times New Roman;serif" w:hAnsi="Times New Roman;serif"/>
          <w:b w:val="false"/>
          <w:color w:val="000000"/>
          <w:sz w:val="20"/>
        </w:rPr>
        <w:t xml:space="preserve">Core Funds From Operations ("Core FFO") is a supplemental non-GAAP financial measure of performance that adjusts </w:t>
      </w:r>
      <w:r>
        <w:rPr>
          <w:rFonts w:ascii="Times New Roman;serif" w:hAnsi="Times New Roman;serif"/>
          <w:b w:val="false"/>
          <w:color w:val="000000"/>
          <w:sz w:val="18"/>
        </w:rPr>
        <w:t>Nareit</w:t>
      </w:r>
      <w:r>
        <w:rPr>
          <w:color w:val="000000"/>
        </w:rPr>
        <w:t xml:space="preserve"> </w:t>
      </w:r>
      <w:r>
        <w:rPr>
          <w:rFonts w:ascii="Times New Roman;serif" w:hAnsi="Times New Roman;serif"/>
          <w:b w:val="false"/>
          <w:color w:val="000000"/>
          <w:sz w:val="20"/>
        </w:rPr>
        <w:t xml:space="preserve">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w:t>
      </w:r>
      <w:r>
        <w:rPr>
          <w:rFonts w:ascii="Times New Roman;serif" w:hAnsi="Times New Roman;serif"/>
          <w:b w:val="false"/>
          <w:color w:val="000000"/>
          <w:sz w:val="18"/>
        </w:rPr>
        <w:t>Nareit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pPr>
      <w:r>
        <w:rPr>
          <w:rFonts w:ascii="Times New Roman;serif" w:hAnsi="Times New Roman;serif"/>
          <w:b w:val="false"/>
          <w:color w:val="000000"/>
          <w:sz w:val="20"/>
        </w:rPr>
        <w:t xml:space="preserve">FFO. Core FFO is not intended to be a substitute for net income or </w:t>
      </w:r>
      <w:r>
        <w:rPr>
          <w:rFonts w:ascii="Times New Roman;serif" w:hAnsi="Times New Roman;serif"/>
          <w:b w:val="false"/>
          <w:color w:val="000000"/>
          <w:sz w:val="18"/>
        </w:rPr>
        <w:t>Nareit</w:t>
      </w:r>
      <w:r>
        <w:rPr>
          <w:color w:val="000000"/>
        </w:rPr>
        <w:t xml:space="preserve"> </w:t>
      </w:r>
      <w:r>
        <w:rPr>
          <w:rFonts w:ascii="Times New Roman;serif" w:hAnsi="Times New Roman;serif"/>
          <w:b w:val="false"/>
          <w:color w:val="000000"/>
          <w:sz w:val="20"/>
        </w:rPr>
        <w:t>FFO. Comparison of our presentation of Core FFO to similarly titled measures for other REITs may not be meaningful due to possible differences in the way Core FFO is defined or applied by other REITs.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reconciliation of net income attributable to common shareholders to Nareit FFO and Core FFO is as follows:</w:t>
      </w:r>
    </w:p>
    <w:tbl>
      <w:tblPr>
        <w:tblW w:w="10205" w:type="dxa"/>
        <w:jc w:val="left"/>
        <w:tblInd w:w="0" w:type="dxa"/>
        <w:tblLayout w:type="fixed"/>
        <w:tblCellMar>
          <w:top w:w="28" w:type="dxa"/>
          <w:left w:w="28" w:type="dxa"/>
          <w:bottom w:w="28" w:type="dxa"/>
          <w:right w:w="28" w:type="dxa"/>
        </w:tblCellMar>
      </w:tblPr>
      <w:tblGrid>
        <w:gridCol w:w="1453"/>
        <w:gridCol w:w="1278"/>
        <w:gridCol w:w="1162"/>
        <w:gridCol w:w="610"/>
        <w:gridCol w:w="2392"/>
        <w:gridCol w:w="315"/>
        <w:gridCol w:w="109"/>
        <w:gridCol w:w="109"/>
        <w:gridCol w:w="109"/>
        <w:gridCol w:w="211"/>
        <w:gridCol w:w="826"/>
        <w:gridCol w:w="109"/>
        <w:gridCol w:w="109"/>
        <w:gridCol w:w="109"/>
        <w:gridCol w:w="109"/>
        <w:gridCol w:w="211"/>
        <w:gridCol w:w="826"/>
        <w:gridCol w:w="158"/>
      </w:tblGrid>
      <w:tr>
        <w:trPr/>
        <w:tc>
          <w:tcPr>
            <w:tcW w:w="145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72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attributable to common shareholders to Nareit 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real estate </w:t>
            </w:r>
          </w:p>
        </w:tc>
        <w:tc>
          <w:tcPr>
            <w:tcW w:w="3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charge </w:t>
            </w:r>
          </w:p>
        </w:tc>
        <w:tc>
          <w:tcPr>
            <w:tcW w:w="3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real estate assets</w:t>
            </w:r>
          </w:p>
        </w:tc>
        <w:tc>
          <w:tcPr>
            <w:tcW w:w="3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320,311 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initial direct costs of leases</w:t>
            </w:r>
          </w:p>
        </w:tc>
        <w:tc>
          <w:tcPr>
            <w:tcW w:w="3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3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631,373 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544,001 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 (1)</w:t>
            </w:r>
          </w:p>
        </w:tc>
        <w:tc>
          <w:tcPr>
            <w:tcW w:w="3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downREIT operating partnership units</w:t>
            </w:r>
          </w:p>
        </w:tc>
        <w:tc>
          <w:tcPr>
            <w:tcW w:w="3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unvested shares</w:t>
            </w:r>
          </w:p>
        </w:tc>
        <w:tc>
          <w:tcPr>
            <w:tcW w:w="3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 available for common shareholders</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624,256 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diluted (1)(2)</w:t>
            </w:r>
          </w:p>
        </w:tc>
        <w:tc>
          <w:tcPr>
            <w:tcW w:w="30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86,498 </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82,044 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 available for common shareholders, per diluted share</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Nareit FFO to Core FFO</w:t>
            </w:r>
          </w:p>
        </w:tc>
        <w:tc>
          <w:tcPr>
            <w:tcW w:w="3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624,256 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 net (3)</w:t>
            </w:r>
          </w:p>
        </w:tc>
        <w:tc>
          <w:tcPr>
            <w:tcW w:w="3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w:t>
            </w:r>
          </w:p>
        </w:tc>
        <w:tc>
          <w:tcPr>
            <w:tcW w:w="3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prior period rents deferred during COVID</w:t>
            </w:r>
          </w:p>
        </w:tc>
        <w:tc>
          <w:tcPr>
            <w:tcW w:w="3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610,991 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per diluted share (2)</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(1)For the years ended December 31, 2025, 2024 and 2023, dividends on our Series 1 preferred stock were not deducted in the calculation of FFO available to common shareholders, as the related shares were dilutive and included in "weighted average number of common shares, diluted."</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weighted average common shares used to compute FFO per diluted common share includes shares issuable upon the assumed redemption of outstanding downREIT operating partnership units that were excluded from the computation of diluted EPS. The assumed issuance of shares upon redemption of these operating partnership units is dilutive in the computation of FFO per diluted common share but is anti-dilutive for the computation of diluted EPS for 2024 and 2023.</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(3)The $13.0 million net new market tax credit transaction income for the year ended December 31, 2025 is due to the sale of new market tax credits related to Freedom Plaza (see Note 7 to the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Fixed Interest Rate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December 31, 2025, we had $4.1 billion of fixed-rate debt outstanding, including $450.0 million of our unsecured term loan and $50.6 million of mortgage payables for which the rate is effectively fixed by interest rate swap agreements. If market interest rates used to calculate the fair value on our fixed-rate debt instruments at December 31, 2025 had been 1.0% higher, the fair value of those debt instruments on that date would have decreased by approximately $137.4 million. If market interest rates used to calculate the fair value on our fixed-rate debt instruments at December 31, 2025 had been 1.0% lower, the fair value of those debt instruments on that date would have increased by approximately $152.9 million.</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Variable Interest Rate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Generally, we believe that our primary interest rate risk is due to fluctuations in interest rates on our outstanding variable rate debt. At December 31, 2025, we had $865.0 million of variable rate debt outstanding, comprised of $310.0 million outstanding on our revolving credit facility, $300.0 million of our unsecured term loan, our $200.0 million mortgage loan at Bethesda Row, and our $55.0 million mortgage loan at Azalea. Based upon this amount of variable rate debt and the specific terms, if market interest rates increased 1.0%, our annual interest expense would increase approximately $8.7 million with a corresponding decrease in our net income and cash flows for the year. Conversely, if market interest rates decreased 1.0%, our annual interest expense would decrease by approximately $8.7 million with a corresponding increase in our net income and cash flows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supplementary data are included as a separate section of this Annual Report on Form 10-K commencing on page F-1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Management's Evaluations of Disclosure Controls and Procedures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Trust and the Operating Partnership maintain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 and the Operating Partnership's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the Trust and the Operating Partnership’s Chief Executive Officer and Chief Financial Officer, evaluated the effectiveness of the design and operation of the Trust and the Operating Partnership’s disclosure controls and procedures as of December 31, 2025. Based on that evaluation, the Trust and the Operating Partnership’s Chief Executive Officer and Chief Financial Officer concluded that, as of December 31, 2025, the Trust and the Operating Partnership’s disclosure controls and procedures were effective at a reasonable assurance level.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Management's Evaluations of Internal Control over Financial Reporting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Trust and the Operating Partnership’s management is responsible for establishing and maintaining adequate internal control over financial reporting. Internal control over financial reporting is defined in Rule 13a-15(f) and 15d-15(f) under the Exchange Act as a process designed by, or under the supervision of, the Trust and the Operating Partnership’s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pertain to the maintenance of records that in reasonable detail accurately and fairly reflect our transactions and disposition of our assets;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any of our assets in circumstances that could have a material adverse effect on our financial statements.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0" w:after="120"/>
        <w:jc w:val="both"/>
        <w:rPr/>
      </w:pPr>
      <w:r>
        <w:rPr>
          <w:rFonts w:ascii="Times New Roman;serif" w:hAnsi="Times New Roman;serif"/>
          <w:b w:val="false"/>
          <w:color w:val="000000"/>
          <w:sz w:val="20"/>
        </w:rPr>
        <w:t xml:space="preserve">We assessed the effectiveness of the Trust and the Operating Partnership’s internal control over financial reporting as of December 31, 2025. In making this assessment, we used the criteria set forth by the Committee of Sponsoring Organizations of the Treadway Commission (COSO) in </w:t>
      </w:r>
      <w:r>
        <w:rPr>
          <w:rFonts w:ascii="Times New Roman;serif" w:hAnsi="Times New Roman;serif"/>
          <w:b w:val="false"/>
          <w:i/>
          <w:color w:val="000000"/>
          <w:sz w:val="20"/>
        </w:rPr>
        <w:t>Internal Control-Integrated Framework (2013)</w:t>
      </w:r>
      <w:r>
        <w:rPr>
          <w:rFonts w:ascii="Times New Roman;serif" w:hAnsi="Times New Roman;serif"/>
          <w:b w:val="false"/>
          <w:color w:val="000000"/>
          <w:sz w:val="20"/>
        </w:rPr>
        <w:t>. Based on that assessment and criteria, management concluded that the Trust and the Operating Partnership's internal control over financial reporting was effective as of December 31, 2025.</w:t>
      </w:r>
    </w:p>
    <w:p>
      <w:pPr>
        <w:pStyle w:val="TextBody"/>
        <w:bidi w:val="0"/>
        <w:spacing w:lineRule="auto" w:line="288" w:before="0" w:after="0"/>
        <w:jc w:val="left"/>
        <w:rPr/>
      </w:pPr>
      <w:r>
        <w:rPr>
          <w:rFonts w:ascii="Times New Roman;serif" w:hAnsi="Times New Roman;serif"/>
          <w:b w:val="false"/>
          <w:color w:val="000000"/>
          <w:sz w:val="20"/>
        </w:rPr>
        <w:t xml:space="preserve">Grant Thornton LLP, the independent registered public accounting firm that audited the Trust and the Operating Partnership's consolidated financial statements included in this Annual Report on Form 10-K, has issued an attestation report on the Trust and the Operating Partnership's internal control over financial reporting, which appears on page </w:t>
      </w:r>
      <w:hyperlink w:anchor="i5132e083c0594d729405270ebbf0218e_112">
        <w:r>
          <w:rPr>
            <w:rStyle w:val="InternetLink"/>
            <w:rFonts w:ascii="Times New Roman;serif" w:hAnsi="Times New Roman;serif"/>
            <w:b w:val="false"/>
            <w:color w:val="0000FF"/>
            <w:sz w:val="20"/>
            <w:u w:val="single"/>
          </w:rPr>
          <w:t>F-2</w:t>
        </w:r>
      </w:hyperlink>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during our fourth fiscal quarter of 2025 that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00" w:after="283"/>
        <w:jc w:val="left"/>
        <w:rPr/>
      </w:pPr>
      <w:r>
        <w:rPr>
          <w:rFonts w:ascii="Times New Roman;serif" w:hAnsi="Times New Roman;serif"/>
          <w:b w:val="false"/>
          <w:i/>
          <w:color w:val="000000"/>
          <w:sz w:val="20"/>
        </w:rPr>
        <w:t xml:space="preserve">Recent Legislation. </w:t>
      </w:r>
      <w:r>
        <w:rPr>
          <w:rFonts w:ascii="Times New Roman;serif" w:hAnsi="Times New Roman;serif"/>
          <w:b w:val="false"/>
          <w:color w:val="000000"/>
          <w:sz w:val="20"/>
        </w:rPr>
        <w:t>New legislation has been recently enacted that modifies certain disclosures under the heading "Material Federal Income Tax Considerations" contained in prospectuses filed by Federal Realty Investment Trust and/or Federal Realty OP LP under the Securities Act of 1933 prior to the date of this Annual Report. See below for a brief description of these modifications.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new legislation permanently extends the ability of non-corporate shareholders to generally deduct 20% of the aggregate amount of ordinary dividends distributed by us, eliminating the previously-scheduled expiration of this deduction at the end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Under the new legislation, as of January 1, 2026, the 20% asset test quarterly limit on the value of our securities in one or more taxable REIT subsidiaries (unless they would otherwise be treated as real estate assets) will increase to 25%.</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in Part III is omitted from this Report but is incorporated herein by reference from our Proxy Statement for the 2026 Annual Meeting of Shareholders (as amended or supplemented,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10.    TRUSTEES, EXECUTIVE OFFICERS AND CORPORATE GOVERNANCE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the section of the Proxy Statement entitled "Equity Grant Practices," and other information included in the Proxy Statement required by this Item 10 are incorporated herein by reference.</w:t>
      </w:r>
    </w:p>
    <w:p>
      <w:pPr>
        <w:pStyle w:val="TextBody"/>
        <w:bidi w:val="0"/>
        <w:spacing w:lineRule="auto" w:line="288" w:before="180" w:after="283"/>
        <w:jc w:val="left"/>
        <w:rPr/>
      </w:pPr>
      <w:r>
        <w:rPr>
          <w:rFonts w:ascii="Times New Roman;serif" w:hAnsi="Times New Roman;serif"/>
          <w:b w:val="false"/>
          <w:color w:val="000000"/>
          <w:sz w:val="20"/>
        </w:rPr>
        <w:t xml:space="preserve">We have adopted a Code of Ethics, which is applicable to our Chief Executive Officer and senior financial officers. The Code of Ethics is available in the Corporate Governance section of the Investors section of our website at </w:t>
      </w:r>
      <w:r>
        <w:rPr>
          <w:rFonts w:ascii="Times New Roman;serif" w:hAnsi="Times New Roman;serif"/>
          <w:b w:val="false"/>
          <w:i/>
          <w:color w:val="000000"/>
          <w:sz w:val="20"/>
        </w:rPr>
        <w:t>www.federalrealty.com</w:t>
      </w:r>
      <w:r>
        <w:rPr>
          <w:rFonts w:ascii="Times New Roman;serif" w:hAnsi="Times New Roman;serif"/>
          <w:b w:val="false"/>
          <w:color w:val="000000"/>
          <w:sz w:val="2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and related procedures governing the purchase, sale, and other dispositions of our securities that we believe are reasonably designed to promote compliance with insider trading laws, rules and regulations and any NYSE listing standards applicable to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SHAREHOLDER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sections of the Proxy Statement entitled “Share Ownership” and “Equity Compensation Plan Information” and other information included in the Proxy Statement required by this Item 12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TRUSTEE INDEPENDENCE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sections of the Proxy Statement entitled “Certain Relationship and Related Transactions” and “Independence of Trustees” and other information included in the Proxy Statement required by this Item 13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tbl>
      <w:tblPr>
        <w:tblW w:w="10205" w:type="dxa"/>
        <w:jc w:val="center"/>
        <w:tblInd w:w="0" w:type="dxa"/>
        <w:tblLayout w:type="fixed"/>
        <w:tblCellMar>
          <w:top w:w="28" w:type="dxa"/>
          <w:left w:w="28" w:type="dxa"/>
          <w:bottom w:w="28" w:type="dxa"/>
          <w:right w:w="28" w:type="dxa"/>
        </w:tblCellMar>
      </w:tblPr>
      <w:tblGrid>
        <w:gridCol w:w="3311"/>
        <w:gridCol w:w="2850"/>
        <w:gridCol w:w="4044"/>
      </w:tblGrid>
      <w:tr>
        <w:trPr/>
        <w:tc>
          <w:tcPr>
            <w:tcW w:w="3311"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color w:val="000000"/>
                <w:sz w:val="20"/>
              </w:rPr>
            </w:pPr>
            <w:r>
              <w:rPr>
                <w:rFonts w:ascii="Times New Roman;serif" w:hAnsi="Times New Roman;serif"/>
                <w:b/>
                <w:color w:val="000000"/>
                <w:sz w:val="20"/>
              </w:rPr>
              <w:t>(a)(1) Financial Statements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 xml:space="preserve">Our consolidated financial statements and notes thereto, together with Reports of Independent Registered Public Accounting Firm are included as a separate section of this Annual Report on Form 10-K commencing on page </w:t>
            </w:r>
            <w:r>
              <w:rPr>
                <w:rFonts w:ascii="Times New Roman;serif" w:hAnsi="Times New Roman;serif"/>
                <w:b w:val="false"/>
                <w:color w:val="0000FF"/>
                <w:sz w:val="20"/>
                <w:u w:val="single"/>
              </w:rPr>
              <w:t>F-</w:t>
            </w:r>
            <w:hyperlink w:anchor="i5132e083c0594d729405270ebbf0218e_109">
              <w:r>
                <w:rPr>
                  <w:rStyle w:val="InternetLink"/>
                  <w:rFonts w:ascii="Times New Roman;serif" w:hAnsi="Times New Roman;serif"/>
                  <w:b w:val="false"/>
                  <w:color w:val="000080"/>
                  <w:sz w:val="20"/>
                  <w:u w:val="single"/>
                </w:rPr>
                <w:t>1</w:t>
              </w:r>
            </w:hyperlink>
            <w:r>
              <w:rPr>
                <w:rFonts w:ascii="Times New Roman;serif" w:hAnsi="Times New Roman;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Times New Roman;serif" w:hAnsi="Times New Roman;serif"/>
                <w:b/>
                <w:color w:val="000000"/>
                <w:sz w:val="20"/>
              </w:rPr>
            </w:pPr>
            <w:r>
              <w:rPr>
                <w:rFonts w:ascii="Times New Roman;serif" w:hAnsi="Times New Roman;serif"/>
                <w:b/>
                <w:color w:val="000000"/>
                <w:sz w:val="20"/>
              </w:rPr>
              <w:t>(2) Financial Statement Schedules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00" w:after="283"/>
              <w:jc w:val="left"/>
              <w:rPr/>
            </w:pPr>
            <w:r>
              <w:rPr>
                <w:rFonts w:ascii="Times New Roman;serif" w:hAnsi="Times New Roman;serif"/>
                <w:b w:val="false"/>
                <w:color w:val="000000"/>
                <w:sz w:val="20"/>
              </w:rPr>
              <w:t xml:space="preserve">Our financial statement schedules are included in a separate section of this Annual Report on Form 10-K commencing on page </w:t>
            </w:r>
            <w:r>
              <w:rPr>
                <w:rFonts w:ascii="Times New Roman;serif" w:hAnsi="Times New Roman;serif"/>
                <w:b w:val="false"/>
                <w:color w:val="0000FF"/>
                <w:sz w:val="20"/>
                <w:u w:val="single"/>
              </w:rPr>
              <w:t>F-</w:t>
            </w:r>
            <w:hyperlink w:anchor="i5132e083c0594d729405270ebbf0218e_205">
              <w:r>
                <w:rPr>
                  <w:rStyle w:val="InternetLink"/>
                  <w:rFonts w:ascii="Times New Roman;serif" w:hAnsi="Times New Roman;serif"/>
                  <w:b w:val="false"/>
                  <w:color w:val="000080"/>
                  <w:sz w:val="20"/>
                  <w:u w:val="single"/>
                </w:rPr>
                <w:t>41</w:t>
              </w:r>
            </w:hyperlink>
            <w:r>
              <w:rPr>
                <w:rFonts w:ascii="Times New Roman;serif" w:hAnsi="Times New Roman;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Times New Roman;serif" w:hAnsi="Times New Roman;serif"/>
                <w:b/>
                <w:color w:val="000000"/>
                <w:sz w:val="20"/>
              </w:rPr>
            </w:pPr>
            <w:r>
              <w:rPr>
                <w:rFonts w:ascii="Times New Roman;serif" w:hAnsi="Times New Roman;serif"/>
                <w:b/>
                <w:color w:val="000000"/>
                <w:sz w:val="20"/>
              </w:rPr>
              <w:t>(3) Exhibits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(b) The following documents are filed as exhibits are filed as part of, or incorporated by reference info, this report: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694"/>
        <w:gridCol w:w="2694"/>
        <w:gridCol w:w="384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Merger Agreement and Plan of Reorganization, dated December 2, 2021, by and among the Predecessor, the Parent Company, and Merger Sub (previously filed as </w:t>
            </w:r>
            <w:hyperlink r:id="rId3">
              <w:r>
                <w:rPr>
                  <w:rStyle w:val="InternetLink"/>
                  <w:rFonts w:ascii="Times New Roman;serif" w:hAnsi="Times New Roman;serif"/>
                  <w:b w:val="false"/>
                  <w:color w:val="0000FF"/>
                  <w:sz w:val="20"/>
                  <w:u w:val="single"/>
                </w:rPr>
                <w:t>Exhibit 2.1</w:t>
              </w:r>
            </w:hyperlink>
            <w:r>
              <w:rPr>
                <w:color w:val="000000"/>
              </w:rPr>
              <w:t xml:space="preserve"> </w:t>
            </w:r>
            <w:r>
              <w:rPr>
                <w:rFonts w:ascii="Times New Roman;serif" w:hAnsi="Times New Roman;serif"/>
                <w:b w:val="false"/>
                <w:color w:val="000000"/>
                <w:sz w:val="20"/>
              </w:rPr>
              <w:t>to the Predecessor's Current Report on Form 8-K filed on December 2, 2021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Amended and Restated Declaration of Trust of the Parent Company dated January 1, 2022, as amended by the Articles of Amendment effective as of January 1, 2022 and Articles of Amendment effective as of May 4, 2023 (previously filed as </w:t>
            </w:r>
            <w:hyperlink r:id="rId4">
              <w:r>
                <w:rPr>
                  <w:rStyle w:val="InternetLink"/>
                  <w:rFonts w:ascii="Times New Roman;serif" w:hAnsi="Times New Roman;serif"/>
                  <w:b w:val="false"/>
                  <w:color w:val="0000FF"/>
                  <w:sz w:val="20"/>
                  <w:u w:val="single"/>
                </w:rPr>
                <w:t>Exhibit 3.1</w:t>
              </w:r>
            </w:hyperlink>
            <w:r>
              <w:rPr>
                <w:color w:val="000000"/>
              </w:rPr>
              <w:t xml:space="preserve"> </w:t>
            </w:r>
            <w:r>
              <w:rPr>
                <w:rFonts w:ascii="Times New Roman;serif" w:hAnsi="Times New Roman;serif"/>
                <w:b w:val="false"/>
                <w:color w:val="000000"/>
                <w:sz w:val="20"/>
              </w:rPr>
              <w:t>to our Quarterly Report on Form 10-Q filed on August 2, 2023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Amended and Restated Bylaws of the Parent Company dated January 1, 2022, as amended February 7, 2023 (previously filed as </w:t>
            </w:r>
            <w:hyperlink r:id="rId5">
              <w:r>
                <w:rPr>
                  <w:rStyle w:val="InternetLink"/>
                  <w:rFonts w:ascii="Times New Roman;serif" w:hAnsi="Times New Roman;serif"/>
                  <w:b w:val="false"/>
                  <w:color w:val="0000FF"/>
                  <w:sz w:val="20"/>
                  <w:u w:val="single"/>
                </w:rPr>
                <w:t>Exhibit 3.1</w:t>
              </w:r>
            </w:hyperlink>
            <w:r>
              <w:rPr>
                <w:color w:val="000000"/>
              </w:rPr>
              <w:t xml:space="preserve"> </w:t>
            </w:r>
            <w:r>
              <w:rPr>
                <w:rFonts w:ascii="Times New Roman;serif" w:hAnsi="Times New Roman;serif"/>
                <w:b w:val="false"/>
                <w:color w:val="000000"/>
                <w:sz w:val="20"/>
              </w:rPr>
              <w:t>to our Quarterly Report on Form 10-Q filed on May 4, 2023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Articles of Merger, dated December 8, 2021, by and among Merger Sub and the Predecessor (previously filed as </w:t>
            </w:r>
            <w:hyperlink r:id="rId6">
              <w:r>
                <w:rPr>
                  <w:rStyle w:val="InternetLink"/>
                  <w:rFonts w:ascii="Times New Roman;serif" w:hAnsi="Times New Roman;serif"/>
                  <w:b w:val="false"/>
                  <w:color w:val="0000FF"/>
                  <w:sz w:val="20"/>
                  <w:u w:val="single"/>
                </w:rPr>
                <w:t>Exhibit 3.4</w:t>
              </w:r>
            </w:hyperlink>
            <w:r>
              <w:rPr>
                <w:color w:val="000000"/>
              </w:rPr>
              <w:t xml:space="preserve"> </w:t>
            </w:r>
            <w:r>
              <w:rPr>
                <w:rFonts w:ascii="Times New Roman;serif" w:hAnsi="Times New Roman;serif"/>
                <w:b w:val="false"/>
                <w:color w:val="000000"/>
                <w:sz w:val="20"/>
              </w:rPr>
              <w:t>to the Parent Company's Current Report on Form 8-K filed on January 3,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Certificate of Limited Partnership of Federal Realty OP LP (previously filed as </w:t>
            </w:r>
            <w:hyperlink r:id="rId7">
              <w:r>
                <w:rPr>
                  <w:rStyle w:val="InternetLink"/>
                  <w:rFonts w:ascii="Times New Roman;serif" w:hAnsi="Times New Roman;serif"/>
                  <w:b w:val="false"/>
                  <w:color w:val="0000FF"/>
                  <w:sz w:val="20"/>
                  <w:u w:val="single"/>
                </w:rPr>
                <w:t>Exhibit 3.1</w:t>
              </w:r>
            </w:hyperlink>
            <w:r>
              <w:rPr>
                <w:color w:val="000000"/>
              </w:rPr>
              <w:t xml:space="preserve"> </w:t>
            </w:r>
            <w:r>
              <w:rPr>
                <w:rFonts w:ascii="Times New Roman;serif" w:hAnsi="Times New Roman;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Agreement of Limited Partnership of Federal Realty OP LP, dated as of January 5, 2022, by and between Federal Realty GP LLC and the Parent Company (Previously filed as </w:t>
            </w:r>
            <w:hyperlink r:id="rId8">
              <w:r>
                <w:rPr>
                  <w:rStyle w:val="InternetLink"/>
                  <w:rFonts w:ascii="Times New Roman;serif" w:hAnsi="Times New Roman;serif"/>
                  <w:b w:val="false"/>
                  <w:color w:val="0000FF"/>
                  <w:sz w:val="20"/>
                  <w:u w:val="single"/>
                </w:rPr>
                <w:t>Exhibit 3.2</w:t>
              </w:r>
            </w:hyperlink>
            <w:r>
              <w:rPr>
                <w:color w:val="000000"/>
              </w:rPr>
              <w:t xml:space="preserve"> </w:t>
            </w:r>
            <w:r>
              <w:rPr>
                <w:rFonts w:ascii="Times New Roman;serif" w:hAnsi="Times New Roman;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Specimen Common Share certificate (previously filed as Exhibit 4(i) to the Predecessor’s Annual Report on </w:t>
            </w:r>
            <w:hyperlink r:id="rId9">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1999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Indenture dated December 1, 1993 related to the Partnership’s 7.48% Debentures due August 15, 2026; and 6.82% Medium Term Notes due August 1, 2027; (previously filed as Exhibit 4(a) to the Predecessor’s Registration Statement on Form S-3, and amended on Form S-3, filed on December 13, 1993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 xml:space="preserve">Indenture dated September 1, 1998 related to the Partnership’s 2.75% Notes due 2023; 3.95% Notes due 2024; 4.50% Notes due 2044; 2.55% Notes due 2021; 3.625% Notes due 2046; 3.25% Notes due 2027; 3.20% Notes due 2029; 3.50% Notes due 2030; 1.25% Notes due 2026 (previously filed as </w:t>
            </w:r>
            <w:hyperlink r:id="rId10">
              <w:r>
                <w:rPr>
                  <w:rStyle w:val="InternetLink"/>
                  <w:rFonts w:ascii="Times New Roman;serif" w:hAnsi="Times New Roman;serif"/>
                  <w:b w:val="false"/>
                  <w:color w:val="0000FF"/>
                  <w:sz w:val="20"/>
                  <w:u w:val="single"/>
                </w:rPr>
                <w:t>Exhibit 4(a)</w:t>
              </w:r>
            </w:hyperlink>
            <w:r>
              <w:rPr>
                <w:color w:val="000000"/>
              </w:rPr>
              <w:t xml:space="preserve"> </w:t>
            </w:r>
            <w:r>
              <w:rPr>
                <w:rFonts w:ascii="Times New Roman;serif" w:hAnsi="Times New Roman;serif"/>
                <w:b w:val="false"/>
                <w:color w:val="000000"/>
                <w:sz w:val="20"/>
              </w:rPr>
              <w:t>to the Predecessor’s Registration Statement on Form S-3 filed on September 17, 1998 and incorporated herein by reference)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 xml:space="preserve">First Supplemental Indenture, dated as of January 5, 2022, by and between Federal Realty OP LP and U.S. Bank National Association, with respect to the Partnership's Indenture dated December 1, 1993 related to the Partnership's 7.48% Debentures due August 15, 2026 and 6.82% Medium Term Notes due August 1, 2027 (previously filed as </w:t>
            </w:r>
            <w:hyperlink r:id="rId11">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 xml:space="preserve">First Supplemental Indenture, dated as of January 5, 2022, by and between Federal Realty OP LP and U.S. Bank National Association, with respect to the Partnership's Indenture dated September 1, 1998 related to the Partnership's 2.75% Notes due 2023; 3.95% Notes due 2024; 4.50% Notes due 2044; 2.55% Notes due 2021; 3.625% Notes due 2046; 3.25% Notes due 2027; 3.20% Notes due 2029; 3.50% Notes due 2030; 1.25% Notes due 2026; 5.375% Notes due 2028 (previously filed as </w:t>
            </w:r>
            <w:hyperlink r:id="rId12">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Current Report on Form 8-K filed on January 5,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 Agreement, dated as of September 29, 2017, by and among Federal Realty Investment Trust, Equiniti Trust Company, LLC (successor to American Stock Transfer and Trust Company, LLC), as Depositary, and all holders from time to time of Receipt (previously filed as </w:t>
            </w:r>
            <w:hyperlink r:id="rId13">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to the Predecessor's Registration Statement on Form 8-A, filed on September 29, 2017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Specimen certificate relating to the 5.000% Series C Cumulative Redeemable Preferred Shares of Beneficial Interest (previously filed as </w:t>
            </w:r>
            <w:hyperlink r:id="rId14">
              <w:r>
                <w:rPr>
                  <w:rStyle w:val="InternetLink"/>
                  <w:rFonts w:ascii="Times New Roman;serif" w:hAnsi="Times New Roman;serif"/>
                  <w:b w:val="false"/>
                  <w:color w:val="0000FF"/>
                  <w:sz w:val="20"/>
                  <w:u w:val="single"/>
                </w:rPr>
                <w:t>Exhibit 4.3</w:t>
              </w:r>
            </w:hyperlink>
            <w:r>
              <w:rPr>
                <w:color w:val="000000"/>
              </w:rPr>
              <w:t xml:space="preserve"> </w:t>
            </w:r>
            <w:r>
              <w:rPr>
                <w:rFonts w:ascii="Times New Roman;serif" w:hAnsi="Times New Roman;serif"/>
                <w:b w:val="false"/>
                <w:color w:val="000000"/>
                <w:sz w:val="20"/>
              </w:rPr>
              <w:t>to the Predecessor's Registration Statement on Form 8-A, filed on September 29, 2017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 xml:space="preserve">Indenture dated January 11, 2024 related to the 3.25% Exchangeable Senior Notes due 2029, by and between Federal Realty OP LP and U.S. Bank National Association (previously filed as </w:t>
            </w:r>
            <w:hyperlink r:id="rId15">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to our current report on Form 8-K filed on January 11, 2023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Description of Securities (previously filed as </w:t>
            </w:r>
            <w:hyperlink r:id="rId16">
              <w:r>
                <w:rPr>
                  <w:rStyle w:val="InternetLink"/>
                  <w:rFonts w:ascii="Times New Roman;serif" w:hAnsi="Times New Roman;serif"/>
                  <w:b w:val="false"/>
                  <w:color w:val="0000FF"/>
                  <w:sz w:val="20"/>
                  <w:u w:val="single"/>
                </w:rPr>
                <w:t>Exhibit 4.9</w:t>
              </w:r>
            </w:hyperlink>
            <w:r>
              <w:rPr>
                <w:color w:val="000000"/>
              </w:rPr>
              <w:t xml:space="preserve"> </w:t>
            </w:r>
            <w:r>
              <w:rPr>
                <w:rFonts w:ascii="Times New Roman;serif" w:hAnsi="Times New Roman;serif"/>
                <w:b w:val="false"/>
                <w:color w:val="000000"/>
                <w:sz w:val="20"/>
              </w:rPr>
              <w:t>to the Trust's Annual Report on Form 10-K, filed on February 12, 2024 and incorporated here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Severance Agreement between Federal Realty Investment Trust and Donald C. Wood dated February 22, 1999 (previously filed as a portion of </w:t>
            </w:r>
            <w:hyperlink r:id="rId17">
              <w:r>
                <w:rPr>
                  <w:rStyle w:val="InternetLink"/>
                  <w:rFonts w:ascii="Times New Roman;serif" w:hAnsi="Times New Roman;serif"/>
                  <w:b w:val="false"/>
                  <w:color w:val="0000FF"/>
                  <w:sz w:val="20"/>
                  <w:u w:val="single"/>
                </w:rPr>
                <w:t>Exhibit 10</w:t>
              </w:r>
            </w:hyperlink>
            <w:r>
              <w:rPr>
                <w:color w:val="000000"/>
              </w:rPr>
              <w:t xml:space="preserve"> </w:t>
            </w:r>
            <w:r>
              <w:rPr>
                <w:rFonts w:ascii="Times New Roman;serif" w:hAnsi="Times New Roman;serif"/>
                <w:b w:val="false"/>
                <w:color w:val="000000"/>
                <w:sz w:val="20"/>
              </w:rPr>
              <w:t>to the Predecessor's Quarterly Report on Form 10-Q for the quarter ended March 31, 1999 (the "1999 1Q Form 10-Q")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855"/>
        <w:gridCol w:w="2622"/>
        <w:gridCol w:w="375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Executive Agreement between Federal Realty Investment Trust and Donald C. Wood dated February 22, 1999 (previously filed as a portion of </w:t>
            </w:r>
            <w:hyperlink r:id="rId18">
              <w:r>
                <w:rPr>
                  <w:rStyle w:val="InternetLink"/>
                  <w:rFonts w:ascii="Times New Roman;serif" w:hAnsi="Times New Roman;serif"/>
                  <w:b w:val="false"/>
                  <w:color w:val="0000FF"/>
                  <w:sz w:val="20"/>
                  <w:u w:val="single"/>
                </w:rPr>
                <w:t>Exhibit 10</w:t>
              </w:r>
            </w:hyperlink>
            <w:r>
              <w:rPr>
                <w:color w:val="000000"/>
              </w:rPr>
              <w:t xml:space="preserve"> </w:t>
            </w:r>
            <w:r>
              <w:rPr>
                <w:rFonts w:ascii="Times New Roman;serif" w:hAnsi="Times New Roman;serif"/>
                <w:b w:val="false"/>
                <w:color w:val="000000"/>
                <w:sz w:val="20"/>
              </w:rPr>
              <w:t>to the Predecessor's 1999 1Q Form 10-Q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Amendment to Executive Agreement between Federal Realty Investment Trust and Donald C. Wood dated February 16, 2005 (previously filed as </w:t>
            </w:r>
            <w:hyperlink r:id="rId19">
              <w:r>
                <w:rPr>
                  <w:rStyle w:val="InternetLink"/>
                  <w:rFonts w:ascii="Times New Roman;serif" w:hAnsi="Times New Roman;serif"/>
                  <w:b w:val="false"/>
                  <w:color w:val="0000FF"/>
                  <w:sz w:val="20"/>
                  <w:u w:val="single"/>
                </w:rPr>
                <w:t>Exhibit 10.12</w:t>
              </w:r>
            </w:hyperlink>
            <w:r>
              <w:rPr>
                <w:color w:val="000000"/>
              </w:rPr>
              <w:t xml:space="preserve"> </w:t>
            </w:r>
            <w:r>
              <w:rPr>
                <w:rFonts w:ascii="Times New Roman;serif" w:hAnsi="Times New Roman;serif"/>
                <w:b w:val="false"/>
                <w:color w:val="000000"/>
                <w:sz w:val="20"/>
              </w:rPr>
              <w:t>to the Predecessor’s Annual Report on Form 10-K for the year ended December 31, 2004 (the “2004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Health Coverage Continuation Agreement between Federal Realty Investment Trust and Donald C. Wood dated February 16, 2005 (previously filed as </w:t>
            </w:r>
            <w:hyperlink r:id="rId20">
              <w:r>
                <w:rPr>
                  <w:rStyle w:val="InternetLink"/>
                  <w:rFonts w:ascii="Times New Roman;serif" w:hAnsi="Times New Roman;serif"/>
                  <w:b w:val="false"/>
                  <w:color w:val="0000FF"/>
                  <w:sz w:val="20"/>
                  <w:u w:val="single"/>
                </w:rPr>
                <w:t>Exhibit 10.26</w:t>
              </w:r>
            </w:hyperlink>
            <w:r>
              <w:rPr>
                <w:color w:val="000000"/>
              </w:rPr>
              <w:t xml:space="preserve"> </w:t>
            </w:r>
            <w:r>
              <w:rPr>
                <w:rFonts w:ascii="Times New Roman;serif" w:hAnsi="Times New Roman;serif"/>
                <w:b w:val="false"/>
                <w:color w:val="000000"/>
                <w:sz w:val="20"/>
              </w:rPr>
              <w:t>to the Predecessor's 2004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Severance Agreement between Federal Realty Investment Trust and Dawn M. Becker dated April 19, 2000 (previously filed as </w:t>
            </w:r>
            <w:hyperlink r:id="rId21">
              <w:r>
                <w:rPr>
                  <w:rStyle w:val="InternetLink"/>
                  <w:rFonts w:ascii="Times New Roman;serif" w:hAnsi="Times New Roman;serif"/>
                  <w:b w:val="false"/>
                  <w:color w:val="0000FF"/>
                  <w:sz w:val="20"/>
                  <w:u w:val="single"/>
                </w:rPr>
                <w:t>Exhibit 10.26</w:t>
              </w:r>
            </w:hyperlink>
            <w:r>
              <w:rPr>
                <w:color w:val="000000"/>
              </w:rPr>
              <w:t xml:space="preserve"> </w:t>
            </w:r>
            <w:r>
              <w:rPr>
                <w:rFonts w:ascii="Times New Roman;serif" w:hAnsi="Times New Roman;serif"/>
                <w:b w:val="false"/>
                <w:color w:val="000000"/>
                <w:sz w:val="20"/>
              </w:rPr>
              <w:t>to the Predecessor’s 2005 2Q Form 10-Q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Amendment to Severance Agreement between Federal Realty Investment Trust and Dawn M. Becker dated February 16, 2005 (previously filed as </w:t>
            </w:r>
            <w:hyperlink r:id="rId22">
              <w:r>
                <w:rPr>
                  <w:rStyle w:val="InternetLink"/>
                  <w:rFonts w:ascii="Times New Roman;serif" w:hAnsi="Times New Roman;serif"/>
                  <w:b w:val="false"/>
                  <w:color w:val="0000FF"/>
                  <w:sz w:val="20"/>
                  <w:u w:val="single"/>
                </w:rPr>
                <w:t>Exhibit 10.27</w:t>
              </w:r>
            </w:hyperlink>
            <w:r>
              <w:rPr>
                <w:color w:val="000000"/>
              </w:rPr>
              <w:t xml:space="preserve"> </w:t>
            </w:r>
            <w:r>
              <w:rPr>
                <w:rFonts w:ascii="Times New Roman;serif" w:hAnsi="Times New Roman;serif"/>
                <w:b w:val="false"/>
                <w:color w:val="000000"/>
                <w:sz w:val="20"/>
              </w:rPr>
              <w:t>to the Predecessor's 2004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Form of Restricted Share Award Agreement for long term vesting and retention awards for shares issued out of the 2010 Plan (previously filed as </w:t>
            </w:r>
            <w:hyperlink r:id="rId23">
              <w:r>
                <w:rPr>
                  <w:rStyle w:val="InternetLink"/>
                  <w:rFonts w:ascii="Times New Roman;serif" w:hAnsi="Times New Roman;serif"/>
                  <w:b w:val="false"/>
                  <w:color w:val="0000FF"/>
                  <w:sz w:val="20"/>
                  <w:u w:val="single"/>
                </w:rPr>
                <w:t>Exhibit 10.35</w:t>
              </w:r>
            </w:hyperlink>
            <w:r>
              <w:rPr>
                <w:color w:val="000000"/>
              </w:rPr>
              <w:t xml:space="preserve"> </w:t>
            </w:r>
            <w:r>
              <w:rPr>
                <w:rFonts w:ascii="Times New Roman;serif" w:hAnsi="Times New Roman;serif"/>
                <w:b w:val="false"/>
                <w:color w:val="000000"/>
                <w:sz w:val="20"/>
              </w:rPr>
              <w:t>to the Predecessor's Annual Report on Form 10-K for the year ended December 31, 2010 (the "2010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Amendment to Severance Agreement between Federal Realty Investment Trust and Donald C. Wood dated January 1, 2009 (previously filed as </w:t>
            </w:r>
            <w:hyperlink r:id="rId24">
              <w:r>
                <w:rPr>
                  <w:rStyle w:val="InternetLink"/>
                  <w:rFonts w:ascii="Times New Roman;serif" w:hAnsi="Times New Roman;serif"/>
                  <w:b w:val="false"/>
                  <w:color w:val="0000FF"/>
                  <w:sz w:val="20"/>
                  <w:u w:val="single"/>
                </w:rPr>
                <w:t>Exhibit 10.26</w:t>
              </w:r>
            </w:hyperlink>
            <w:r>
              <w:rPr>
                <w:color w:val="000000"/>
              </w:rPr>
              <w:t xml:space="preserve"> </w:t>
            </w:r>
            <w:r>
              <w:rPr>
                <w:rFonts w:ascii="Times New Roman;serif" w:hAnsi="Times New Roman;serif"/>
                <w:b w:val="false"/>
                <w:color w:val="000000"/>
                <w:sz w:val="20"/>
              </w:rPr>
              <w:t>to the Predecessor’s Annual Report on Form 10-K for the year ended December 31, 2008 (“the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Second Amendment to Executive Agreement between Federal Realty Investment Trust and Donald C. Wood dated January 1, 2009 (previously filed as </w:t>
            </w:r>
            <w:hyperlink r:id="rId25">
              <w:r>
                <w:rPr>
                  <w:rStyle w:val="InternetLink"/>
                  <w:rFonts w:ascii="Times New Roman;serif" w:hAnsi="Times New Roman;serif"/>
                  <w:b w:val="false"/>
                  <w:color w:val="0000FF"/>
                  <w:sz w:val="20"/>
                  <w:u w:val="single"/>
                </w:rPr>
                <w:t>Exhibit 10.27</w:t>
              </w:r>
            </w:hyperlink>
            <w:r>
              <w:rPr>
                <w:color w:val="000000"/>
              </w:rPr>
              <w:t xml:space="preserve"> </w:t>
            </w:r>
            <w:r>
              <w:rPr>
                <w:rFonts w:ascii="Times New Roman;serif" w:hAnsi="Times New Roman;serif"/>
                <w:b w:val="false"/>
                <w:color w:val="000000"/>
                <w:sz w:val="20"/>
              </w:rPr>
              <w:t>to the Predecessor’s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Amendment to Health Coverage Continuation Agreement between Federal Realty Investment Trust and Donald C. Wood dated January 1, 2009 (previously filed as </w:t>
            </w:r>
            <w:hyperlink r:id="rId26">
              <w:r>
                <w:rPr>
                  <w:rStyle w:val="InternetLink"/>
                  <w:rFonts w:ascii="Times New Roman;serif" w:hAnsi="Times New Roman;serif"/>
                  <w:b w:val="false"/>
                  <w:color w:val="0000FF"/>
                  <w:sz w:val="20"/>
                  <w:u w:val="single"/>
                </w:rPr>
                <w:t>Exhibit 10.28</w:t>
              </w:r>
            </w:hyperlink>
            <w:r>
              <w:rPr>
                <w:color w:val="000000"/>
              </w:rPr>
              <w:t xml:space="preserve"> </w:t>
            </w:r>
            <w:r>
              <w:rPr>
                <w:rFonts w:ascii="Times New Roman;serif" w:hAnsi="Times New Roman;serif"/>
                <w:b w:val="false"/>
                <w:color w:val="000000"/>
                <w:sz w:val="20"/>
              </w:rPr>
              <w:t>to the Predecessor’s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Second Amendment to Severance Agreement between Federal Realty Investment Trust and Dawn M. Becker dated January 1, 2009 (previously filed as </w:t>
            </w:r>
            <w:hyperlink r:id="rId27">
              <w:r>
                <w:rPr>
                  <w:rStyle w:val="InternetLink"/>
                  <w:rFonts w:ascii="Times New Roman;serif" w:hAnsi="Times New Roman;serif"/>
                  <w:b w:val="false"/>
                  <w:color w:val="0000FF"/>
                  <w:sz w:val="20"/>
                  <w:u w:val="single"/>
                </w:rPr>
                <w:t>Exhibit 10.30</w:t>
              </w:r>
            </w:hyperlink>
            <w:r>
              <w:rPr>
                <w:color w:val="000000"/>
              </w:rPr>
              <w:t xml:space="preserve"> </w:t>
            </w:r>
            <w:r>
              <w:rPr>
                <w:rFonts w:ascii="Times New Roman;serif" w:hAnsi="Times New Roman;serif"/>
                <w:b w:val="false"/>
                <w:color w:val="000000"/>
                <w:sz w:val="20"/>
              </w:rPr>
              <w:t>to the Predecessor’s 2008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2010 Performance Incentive Plan (previously filed as </w:t>
            </w:r>
            <w:r>
              <w:fldChar w:fldCharType="begin"/>
            </w:r>
            <w:r>
              <w:rPr>
                <w:rStyle w:val="InternetLink"/>
                <w:sz w:val="20"/>
                <w:u w:val="single"/>
                <w:b w:val="false"/>
                <w:rFonts w:ascii="Times New Roman;serif" w:hAnsi="Times New Roman;serif"/>
                <w:color w:val="0000FF"/>
              </w:rPr>
              <w:instrText xml:space="preserve"> HYPERLINK "https://www.sec.gov/Archives/edgar/data/34903/000119312510065274/ddef14a.htm" \l "toc85041_80"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Appendix A</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to the Predecessor’s Definitive Proxy Statement for the 2010 Annual Meeting of Shareholders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Amendment to 2010 Performance Incentive Plan (“the 2010 Plan”) (previously filed as </w:t>
            </w:r>
            <w:r>
              <w:fldChar w:fldCharType="begin"/>
            </w:r>
            <w:r>
              <w:rPr>
                <w:rStyle w:val="InternetLink"/>
                <w:sz w:val="20"/>
                <w:u w:val="single"/>
                <w:b w:val="false"/>
                <w:rFonts w:ascii="Times New Roman;serif" w:hAnsi="Times New Roman;serif"/>
                <w:color w:val="0000FF"/>
              </w:rPr>
              <w:instrText xml:space="preserve"> HYPERLINK "https://www.sec.gov/Archives/edgar/data/34903/000119312510065274/ddef14a.htm" \l "toc85041_80"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Appendix A</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to the Predecessor’s Proxy Statement for the 2010 Annual Meeting of Shareholders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Form of Restricted Share Award Agreement for awards made under Federal Realty Investment Trust’s Long-Term Incentive Award Program and the Trust’s Annual Incentive Bonus Program and basic awards with annual vesting for shares issued out of the 2010 Plan (previously filed as </w:t>
            </w:r>
            <w:hyperlink r:id="rId28">
              <w:r>
                <w:rPr>
                  <w:rStyle w:val="InternetLink"/>
                  <w:rFonts w:ascii="Times New Roman;serif" w:hAnsi="Times New Roman;serif"/>
                  <w:b w:val="false"/>
                  <w:color w:val="0000FF"/>
                  <w:sz w:val="20"/>
                  <w:u w:val="single"/>
                </w:rPr>
                <w:t>Exhibit 10.34</w:t>
              </w:r>
            </w:hyperlink>
            <w:r>
              <w:rPr>
                <w:color w:val="000000"/>
              </w:rPr>
              <w:t xml:space="preserve"> </w:t>
            </w:r>
            <w:r>
              <w:rPr>
                <w:rFonts w:ascii="Times New Roman;serif" w:hAnsi="Times New Roman;serif"/>
                <w:b w:val="false"/>
                <w:color w:val="000000"/>
                <w:sz w:val="20"/>
              </w:rPr>
              <w:t>to the Predecessor’s 2010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Revised Form of Restricted Share Award Agreement for front loaded awards made under Federal Realty Investment Trust’s Long-Term Incentive Award Program for shares issued out of the 2010 Plan (previously filed as </w:t>
            </w:r>
            <w:hyperlink r:id="rId29">
              <w:r>
                <w:rPr>
                  <w:rStyle w:val="InternetLink"/>
                  <w:rFonts w:ascii="Times New Roman;serif" w:hAnsi="Times New Roman;serif"/>
                  <w:b w:val="false"/>
                  <w:color w:val="0000FF"/>
                  <w:sz w:val="20"/>
                  <w:u w:val="single"/>
                </w:rPr>
                <w:t>Exhibit 10.35</w:t>
              </w:r>
            </w:hyperlink>
            <w:r>
              <w:rPr>
                <w:color w:val="000000"/>
              </w:rPr>
              <w:t xml:space="preserve"> </w:t>
            </w:r>
            <w:r>
              <w:rPr>
                <w:rFonts w:ascii="Times New Roman;serif" w:hAnsi="Times New Roman;serif"/>
                <w:b w:val="false"/>
                <w:color w:val="000000"/>
                <w:sz w:val="20"/>
              </w:rPr>
              <w:t>to the Predecessor's Annual Report on Form 10-K for the year ended December 31, 2012 (the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Revised Form of Restricted Share Award Agreement for long-term vesting and retention awards made under Federal Realty Investment Trust’s Long-Term Incentive Award Program for shares issued out of the 2010 Plan (previously filed as </w:t>
            </w:r>
            <w:hyperlink r:id="rId30">
              <w:r>
                <w:rPr>
                  <w:rStyle w:val="InternetLink"/>
                  <w:rFonts w:ascii="Times New Roman;serif" w:hAnsi="Times New Roman;serif"/>
                  <w:b w:val="false"/>
                  <w:color w:val="0000FF"/>
                  <w:sz w:val="20"/>
                  <w:u w:val="single"/>
                </w:rPr>
                <w:t>Exhibit 10.36</w:t>
              </w:r>
            </w:hyperlink>
            <w:r>
              <w:rPr>
                <w:color w:val="000000"/>
              </w:rPr>
              <w:t xml:space="preserve"> </w:t>
            </w:r>
            <w:r>
              <w:rPr>
                <w:rFonts w:ascii="Times New Roman;serif" w:hAnsi="Times New Roman;serif"/>
                <w:b w:val="false"/>
                <w:color w:val="000000"/>
                <w:sz w:val="20"/>
              </w:rPr>
              <w:t>to the Predecessor's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Revised Form of Performance Share Award Agreement for shares awarded out of the 2010 Plan (previously filed as </w:t>
            </w:r>
            <w:hyperlink r:id="rId31">
              <w:r>
                <w:rPr>
                  <w:rStyle w:val="InternetLink"/>
                  <w:rFonts w:ascii="Times New Roman;serif" w:hAnsi="Times New Roman;serif"/>
                  <w:b w:val="false"/>
                  <w:color w:val="0000FF"/>
                  <w:sz w:val="20"/>
                  <w:u w:val="single"/>
                </w:rPr>
                <w:t>Exhibit 10.37</w:t>
              </w:r>
            </w:hyperlink>
            <w:r>
              <w:rPr>
                <w:color w:val="000000"/>
              </w:rPr>
              <w:t xml:space="preserve"> </w:t>
            </w:r>
            <w:r>
              <w:rPr>
                <w:rFonts w:ascii="Times New Roman;serif" w:hAnsi="Times New Roman;serif"/>
                <w:b w:val="false"/>
                <w:color w:val="000000"/>
                <w:sz w:val="20"/>
              </w:rPr>
              <w:t>to the Predecessor's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Revised Form of Restricted Share Award Agreement for awards made under Federal Realty Investment Trust’s Long-Term Incentive Award Program and the Trust’s Annual Incentive Bonus Program and basic awards with annual vesting for shares issued out of the 2010 Plan (previously filed as </w:t>
            </w:r>
            <w:hyperlink r:id="rId32">
              <w:r>
                <w:rPr>
                  <w:rStyle w:val="InternetLink"/>
                  <w:rFonts w:ascii="Times New Roman;serif" w:hAnsi="Times New Roman;serif"/>
                  <w:b w:val="false"/>
                  <w:color w:val="0000FF"/>
                  <w:sz w:val="20"/>
                  <w:u w:val="single"/>
                </w:rPr>
                <w:t>Exhibit 10.38</w:t>
              </w:r>
            </w:hyperlink>
            <w:r>
              <w:rPr>
                <w:color w:val="000000"/>
              </w:rPr>
              <w:t xml:space="preserve"> </w:t>
            </w:r>
            <w:r>
              <w:rPr>
                <w:rFonts w:ascii="Times New Roman;serif" w:hAnsi="Times New Roman;serif"/>
                <w:b w:val="false"/>
                <w:color w:val="000000"/>
                <w:sz w:val="20"/>
              </w:rPr>
              <w:t>to the Predecessor's 2012 Form 10-K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Agreement between Federal Realty Investment Trust and Daniel Guglielmone dated August 15, 2016 (previously filed as </w:t>
            </w:r>
            <w:hyperlink r:id="rId33">
              <w:r>
                <w:rPr>
                  <w:rStyle w:val="InternetLink"/>
                  <w:rFonts w:ascii="Times New Roman;serif" w:hAnsi="Times New Roman;serif"/>
                  <w:b w:val="false"/>
                  <w:color w:val="0000FF"/>
                  <w:sz w:val="20"/>
                  <w:u w:val="single"/>
                </w:rPr>
                <w:t>Exhibit 10.36</w:t>
              </w:r>
            </w:hyperlink>
            <w:r>
              <w:rPr>
                <w:color w:val="000000"/>
              </w:rPr>
              <w:t xml:space="preserve"> </w:t>
            </w:r>
            <w:r>
              <w:rPr>
                <w:rFonts w:ascii="Times New Roman;serif" w:hAnsi="Times New Roman;serif"/>
                <w:b w:val="false"/>
                <w:color w:val="000000"/>
                <w:sz w:val="20"/>
              </w:rPr>
              <w:t>to the Predecessor's Quarterly Report on Form 10-Q for the quarter ended September 30, 2016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2020 Performance Incentive Plan (previously filed as </w:t>
            </w:r>
            <w:r>
              <w:fldChar w:fldCharType="begin"/>
            </w:r>
            <w:r>
              <w:rPr>
                <w:rStyle w:val="InternetLink"/>
                <w:sz w:val="20"/>
                <w:u w:val="single"/>
                <w:b w:val="false"/>
                <w:rFonts w:ascii="Times New Roman;serif" w:hAnsi="Times New Roman;serif"/>
                <w:color w:val="0000FF"/>
              </w:rPr>
              <w:instrText xml:space="preserve"> HYPERLINK "https://www.sec.gov/Archives/edgar/data/34903/000119312520080068/d861275ddef14a.htm" \l "tx861275_56"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Appendix B</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to the Predecessor’s Definitive Proxy Statement for the 2020 Annual Meeting of Shareholders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4"/>
        <w:gridCol w:w="205"/>
        <w:gridCol w:w="207"/>
        <w:gridCol w:w="109"/>
        <w:gridCol w:w="109"/>
        <w:gridCol w:w="109"/>
        <w:gridCol w:w="2830"/>
        <w:gridCol w:w="2633"/>
        <w:gridCol w:w="3769"/>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Form of Restricted Share Award Agreement for awards made under Federal Realty Investment Trust's Long-Term Incentive Award Program and the Trust's Annual Incentive Bonus Program and basic awards with annual vesting for shares issued out the 2020 Plan (previously filed as </w:t>
            </w:r>
            <w:hyperlink r:id="rId34">
              <w:r>
                <w:rPr>
                  <w:rStyle w:val="InternetLink"/>
                  <w:rFonts w:ascii="Times New Roman;serif" w:hAnsi="Times New Roman;serif"/>
                  <w:b w:val="false"/>
                  <w:color w:val="0000FF"/>
                  <w:sz w:val="20"/>
                  <w:u w:val="single"/>
                </w:rPr>
                <w:t>Exhibit 10.32</w:t>
              </w:r>
            </w:hyperlink>
            <w:r>
              <w:rPr>
                <w:color w:val="000000"/>
              </w:rPr>
              <w:t xml:space="preserve"> </w:t>
            </w:r>
            <w:r>
              <w:rPr>
                <w:rFonts w:ascii="Times New Roman;serif" w:hAnsi="Times New Roman;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Form of Option Award Agreement for awards made under Federal Realty Investment Trust’s Long-Term Incentive Award Program for shares issued out of the 2020 Plan (previously filed as </w:t>
            </w:r>
            <w:hyperlink r:id="rId35">
              <w:r>
                <w:rPr>
                  <w:rStyle w:val="InternetLink"/>
                  <w:rFonts w:ascii="Times New Roman;serif" w:hAnsi="Times New Roman;serif"/>
                  <w:b w:val="false"/>
                  <w:color w:val="0000FF"/>
                  <w:sz w:val="20"/>
                  <w:u w:val="single"/>
                </w:rPr>
                <w:t>Exhibit 10.33</w:t>
              </w:r>
            </w:hyperlink>
            <w:r>
              <w:rPr>
                <w:color w:val="000000"/>
              </w:rPr>
              <w:t xml:space="preserve"> </w:t>
            </w:r>
            <w:r>
              <w:rPr>
                <w:rFonts w:ascii="Times New Roman;serif" w:hAnsi="Times New Roman;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Form of Restricted Share Award Agreement for long-term vesting and retention awards made under Federal Realty Investment Trust’s Long-Term Incentive Award Program for shares issued out of the 2020 Plan (previously filed as </w:t>
            </w:r>
            <w:hyperlink r:id="rId36">
              <w:r>
                <w:rPr>
                  <w:rStyle w:val="InternetLink"/>
                  <w:rFonts w:ascii="Times New Roman;serif" w:hAnsi="Times New Roman;serif"/>
                  <w:b w:val="false"/>
                  <w:color w:val="0000FF"/>
                  <w:sz w:val="20"/>
                  <w:u w:val="single"/>
                </w:rPr>
                <w:t>Exhibit 10.34</w:t>
              </w:r>
            </w:hyperlink>
            <w:r>
              <w:rPr>
                <w:color w:val="000000"/>
              </w:rPr>
              <w:t xml:space="preserve"> </w:t>
            </w:r>
            <w:r>
              <w:rPr>
                <w:rFonts w:ascii="Times New Roman;serif" w:hAnsi="Times New Roman;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Form of Performance Share Award Agreement for shares awarded out of the 2020 Plan (previously filed as </w:t>
            </w:r>
            <w:hyperlink r:id="rId37">
              <w:r>
                <w:rPr>
                  <w:rStyle w:val="InternetLink"/>
                  <w:rFonts w:ascii="Times New Roman;serif" w:hAnsi="Times New Roman;serif"/>
                  <w:b w:val="false"/>
                  <w:color w:val="0000FF"/>
                  <w:sz w:val="20"/>
                  <w:u w:val="single"/>
                </w:rPr>
                <w:t>Exhibit 10.35</w:t>
              </w:r>
            </w:hyperlink>
            <w:r>
              <w:rPr>
                <w:color w:val="000000"/>
              </w:rPr>
              <w:t xml:space="preserve"> </w:t>
            </w:r>
            <w:r>
              <w:rPr>
                <w:rFonts w:ascii="Times New Roman;serif" w:hAnsi="Times New Roman;serif"/>
                <w:b w:val="false"/>
                <w:color w:val="000000"/>
                <w:sz w:val="20"/>
              </w:rPr>
              <w:t>to the Predecessor's Annual Report on From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Form of Option Award Agreement for basic options awarded out of the 2020 Plan (previously filed as </w:t>
            </w:r>
            <w:hyperlink r:id="rId38">
              <w:r>
                <w:rPr>
                  <w:rStyle w:val="InternetLink"/>
                  <w:rFonts w:ascii="Times New Roman;serif" w:hAnsi="Times New Roman;serif"/>
                  <w:b w:val="false"/>
                  <w:color w:val="0000FF"/>
                  <w:sz w:val="20"/>
                  <w:u w:val="single"/>
                </w:rPr>
                <w:t>Exhibit 10.36</w:t>
              </w:r>
            </w:hyperlink>
            <w:r>
              <w:rPr>
                <w:color w:val="000000"/>
              </w:rPr>
              <w:t xml:space="preserve"> </w:t>
            </w:r>
            <w:r>
              <w:rPr>
                <w:rFonts w:ascii="Times New Roman;serif" w:hAnsi="Times New Roman;serif"/>
                <w:b w:val="false"/>
                <w:color w:val="000000"/>
                <w:sz w:val="20"/>
              </w:rPr>
              <w:t>to the Predecessor's Annual Report on Form 10-K, filed on February 11, 2021,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Omnibus Assignment, Assumption and Amendment entered into between the Predecessor and the Parent Company (previously filed as </w:t>
            </w:r>
            <w:hyperlink r:id="rId39">
              <w:r>
                <w:rPr>
                  <w:rStyle w:val="InternetLink"/>
                  <w:rFonts w:ascii="Times New Roman;serif" w:hAnsi="Times New Roman;serif"/>
                  <w:b w:val="false"/>
                  <w:color w:val="0000FF"/>
                  <w:sz w:val="20"/>
                  <w:u w:val="single"/>
                </w:rPr>
                <w:t>Exhibit 10.1</w:t>
              </w:r>
            </w:hyperlink>
            <w:r>
              <w:rPr>
                <w:color w:val="000000"/>
              </w:rPr>
              <w:t xml:space="preserve"> </w:t>
            </w:r>
            <w:r>
              <w:rPr>
                <w:rFonts w:ascii="Times New Roman;serif" w:hAnsi="Times New Roman;serif"/>
                <w:b w:val="false"/>
                <w:color w:val="000000"/>
                <w:sz w:val="20"/>
              </w:rPr>
              <w:t>to our Current Report on Form 8-K, filed on January 3,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Second Amended and Restated Credit Agreement, dated as of October 5, 2022, by and among the Partnership, as borrower, each of the lenders party thereto and Wells Fargo Bank, National Association, as administrative agent (previously filed as </w:t>
            </w:r>
            <w:hyperlink r:id="rId40">
              <w:r>
                <w:rPr>
                  <w:rStyle w:val="InternetLink"/>
                  <w:rFonts w:ascii="Times New Roman;serif" w:hAnsi="Times New Roman;serif"/>
                  <w:b w:val="false"/>
                  <w:color w:val="0000FF"/>
                  <w:sz w:val="20"/>
                  <w:u w:val="single"/>
                </w:rPr>
                <w:t>Exhibit 10.1</w:t>
              </w:r>
            </w:hyperlink>
            <w:r>
              <w:rPr>
                <w:color w:val="000000"/>
              </w:rPr>
              <w:t xml:space="preserve"> </w:t>
            </w:r>
            <w:r>
              <w:rPr>
                <w:rFonts w:ascii="Times New Roman;serif" w:hAnsi="Times New Roman;serif"/>
                <w:b w:val="false"/>
                <w:color w:val="000000"/>
                <w:sz w:val="20"/>
              </w:rPr>
              <w:t>to the Trust’s Current Report on Form 8-K filed on October 11, 2022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First Amendment to Second Amended and Restated Credit Agreement, dated as of August 25, 2023, by and among the Partnership, as borrower, each of the lenders party thereto and Wells Fargo Bank, National Association, as administrative agent (previously filed a </w:t>
            </w:r>
            <w:hyperlink r:id="rId41">
              <w:r>
                <w:rPr>
                  <w:rStyle w:val="InternetLink"/>
                  <w:rFonts w:ascii="Times New Roman;serif" w:hAnsi="Times New Roman;serif"/>
                  <w:b w:val="false"/>
                  <w:color w:val="0000FF"/>
                  <w:sz w:val="20"/>
                  <w:u w:val="single"/>
                </w:rPr>
                <w:t>Exhibit 10.34</w:t>
              </w:r>
            </w:hyperlink>
            <w:r>
              <w:rPr>
                <w:color w:val="000000"/>
              </w:rPr>
              <w:t xml:space="preserve"> </w:t>
            </w:r>
            <w:r>
              <w:rPr>
                <w:rFonts w:ascii="Times New Roman;serif" w:hAnsi="Times New Roman;serif"/>
                <w:b w:val="false"/>
                <w:color w:val="000000"/>
                <w:sz w:val="20"/>
              </w:rPr>
              <w:t>to the Trust's Annual Report on Form 10-K, filed on February 12, 2024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Second Amendment to Second Amended and Restated Credit Agreement, dated as of January 2, 2024, by and among the Partnership, as borrower, each of the lenders party thereto and Wells Fargo Bank, National Association, as administrative agent (previously filed a </w:t>
            </w:r>
            <w:hyperlink r:id="rId42">
              <w:r>
                <w:rPr>
                  <w:rStyle w:val="InternetLink"/>
                  <w:rFonts w:ascii="Times New Roman;serif" w:hAnsi="Times New Roman;serif"/>
                  <w:b w:val="false"/>
                  <w:color w:val="0000FF"/>
                  <w:sz w:val="20"/>
                  <w:u w:val="single"/>
                </w:rPr>
                <w:t>Exhibit 10.36</w:t>
              </w:r>
            </w:hyperlink>
            <w:r>
              <w:rPr>
                <w:color w:val="000000"/>
              </w:rPr>
              <w:t xml:space="preserve"> </w:t>
            </w:r>
            <w:r>
              <w:rPr>
                <w:rFonts w:ascii="Times New Roman;serif" w:hAnsi="Times New Roman;serif"/>
                <w:b w:val="false"/>
                <w:color w:val="000000"/>
                <w:sz w:val="20"/>
              </w:rPr>
              <w:t>to the Trust's Annual Report on Form 10-K, filed on February 12, 2024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Registration Rights Agreement dated January 11, 2024 among the Issuer, the Parent and the Representatives (previously filed as </w:t>
            </w:r>
            <w:hyperlink r:id="rId43">
              <w:r>
                <w:rPr>
                  <w:rStyle w:val="InternetLink"/>
                  <w:rFonts w:ascii="Times New Roman;serif" w:hAnsi="Times New Roman;serif"/>
                  <w:b w:val="false"/>
                  <w:color w:val="0000FF"/>
                  <w:sz w:val="20"/>
                  <w:u w:val="single"/>
                </w:rPr>
                <w:t>Exhibit 10.1</w:t>
              </w:r>
            </w:hyperlink>
            <w:r>
              <w:rPr>
                <w:color w:val="000000"/>
              </w:rPr>
              <w:t xml:space="preserve"> </w:t>
            </w:r>
            <w:r>
              <w:rPr>
                <w:rFonts w:ascii="Times New Roman;serif" w:hAnsi="Times New Roman;serif"/>
                <w:b w:val="false"/>
                <w:color w:val="000000"/>
                <w:sz w:val="20"/>
              </w:rPr>
              <w:t>to the Trust’s Current Report on Form 8-K filed on January 11, 2024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Third Amendment to Second Amended and Restated Credit Agreement, dated as of March 14, 2024, by and among the Partnership, as borrower, each of the lenders arty thereto and Wells Fargo Bank, National Association, as administrative agent (previously filed as </w:t>
            </w:r>
            <w:hyperlink r:id="rId44">
              <w:r>
                <w:rPr>
                  <w:rStyle w:val="InternetLink"/>
                  <w:rFonts w:ascii="Times New Roman;serif" w:hAnsi="Times New Roman;serif"/>
                  <w:b w:val="false"/>
                  <w:color w:val="0000FF"/>
                  <w:sz w:val="20"/>
                  <w:u w:val="single"/>
                </w:rPr>
                <w:t>Exhibit 10.1</w:t>
              </w:r>
            </w:hyperlink>
            <w:r>
              <w:rPr>
                <w:color w:val="000000"/>
              </w:rPr>
              <w:t xml:space="preserve"> </w:t>
            </w:r>
            <w:r>
              <w:rPr>
                <w:rFonts w:ascii="Times New Roman;serif" w:hAnsi="Times New Roman;serif"/>
                <w:b w:val="false"/>
                <w:color w:val="000000"/>
                <w:sz w:val="20"/>
              </w:rPr>
              <w:t>to the Trust's Quarterly Report on Form 10-Q for the quarter ended March 31, 2024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0"/>
              </w:rPr>
              <w:t>Consulting Agreement between Federal Realty OP LP and Jeffrey S. Berkes, dated January 1, 2025 (previously filed as Exhibit 10.40 to the Trust's Annual Report on Form 10-K, filed on February 13, 2025 and incorporated here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Amended and Restated Term Loan Agreement, dated as of March 20, 2025, by and among the Partnership, FRIT San Jose Town and Country Village, LLC, the financial institutions party thereto, as Lenders, PNC Bank, National Association, as Administrative Agent, and the other parties thereto (previously filed as </w:t>
            </w:r>
            <w:hyperlink r:id="rId45">
              <w:r>
                <w:rPr>
                  <w:rStyle w:val="InternetLink"/>
                  <w:rFonts w:ascii="Times New Roman;serif" w:hAnsi="Times New Roman;serif"/>
                  <w:b w:val="false"/>
                  <w:color w:val="0000FF"/>
                  <w:sz w:val="20"/>
                  <w:u w:val="single"/>
                </w:rPr>
                <w:t>Exhibit 10.1</w:t>
              </w:r>
            </w:hyperlink>
            <w:r>
              <w:rPr>
                <w:color w:val="000000"/>
              </w:rPr>
              <w:t xml:space="preserve"> </w:t>
            </w:r>
            <w:r>
              <w:rPr>
                <w:rFonts w:ascii="Times New Roman;serif" w:hAnsi="Times New Roman;serif"/>
                <w:b w:val="false"/>
                <w:color w:val="000000"/>
                <w:sz w:val="20"/>
              </w:rPr>
              <w:t>to the Trust's Current Report on Form 8-K file on March 21, 2025 and incorporated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First Amendment to Severance Agreement dated as of May 7, 2025, by and between Federal Realty Investment Trust and Daniel Guglielmone (previously filed as </w:t>
            </w:r>
            <w:hyperlink r:id="rId46">
              <w:r>
                <w:rPr>
                  <w:rStyle w:val="InternetLink"/>
                  <w:rFonts w:ascii="Times New Roman;serif" w:hAnsi="Times New Roman;serif"/>
                  <w:b w:val="false"/>
                  <w:color w:val="0000FF"/>
                  <w:sz w:val="20"/>
                  <w:u w:val="single"/>
                </w:rPr>
                <w:t>Exhibit 10.1</w:t>
              </w:r>
            </w:hyperlink>
            <w:r>
              <w:rPr>
                <w:color w:val="000000"/>
              </w:rPr>
              <w:t xml:space="preserve"> </w:t>
            </w:r>
            <w:r>
              <w:rPr>
                <w:rFonts w:ascii="Times New Roman;serif" w:hAnsi="Times New Roman;serif"/>
                <w:b w:val="false"/>
                <w:color w:val="000000"/>
                <w:sz w:val="20"/>
              </w:rPr>
              <w:t>to the Trust's Current Report on Form 8-K filed on May 9, 2025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Agreement dated as of November 17, 2025, by and among the Partnership, as Borrower, the financial institutions party thereto as Lenders, Truist Bank, as Administrative Agent, Bank of America, N.A and Mizuho Bank LTD., as Co-Syndication Agents, each of Truist Securities, Inc., BOA Securities, Inc., and Mizuho Bank LTD., as Joint Lead Arrangers and and Truist Securities, Inc., as Sole Book Manager (previously filed as Exhibit 10.1 to the Trust's Current Report on Form 8-K, filed on November 20, 2025 and incorporated herein by reference)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Policy on Insider Information and Trading in Federal Realty Shares and other Securities (previously filed as </w:t>
            </w:r>
            <w:hyperlink r:id="rId47">
              <w:r>
                <w:rPr>
                  <w:rStyle w:val="InternetLink"/>
                  <w:rFonts w:ascii="Times New Roman;serif" w:hAnsi="Times New Roman;serif"/>
                  <w:b w:val="false"/>
                  <w:color w:val="0000FF"/>
                  <w:sz w:val="20"/>
                  <w:u w:val="single"/>
                </w:rPr>
                <w:t>Exhibit 19.1</w:t>
              </w:r>
            </w:hyperlink>
            <w:r>
              <w:rPr>
                <w:color w:val="000000"/>
              </w:rPr>
              <w:t xml:space="preserve"> </w:t>
            </w:r>
            <w:r>
              <w:rPr>
                <w:rFonts w:ascii="Times New Roman;serif" w:hAnsi="Times New Roman;serif"/>
                <w:b w:val="false"/>
                <w:color w:val="000000"/>
                <w:sz w:val="20"/>
              </w:rPr>
              <w:t>to the Trust's Annual Report on Form 10-K, filed on February 12, 2024 and incorporated here by reference)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985"/>
        <w:gridCol w:w="2758"/>
        <w:gridCol w:w="2789"/>
        <w:gridCol w:w="109"/>
        <w:gridCol w:w="109"/>
        <w:gridCol w:w="109"/>
        <w:gridCol w:w="109"/>
        <w:gridCol w:w="109"/>
        <w:gridCol w:w="15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211.htm">
              <w:r>
                <w:rPr>
                  <w:rStyle w:val="InternetLink"/>
                  <w:rFonts w:ascii="Times New Roman;serif" w:hAnsi="Times New Roman;serif"/>
                  <w:b w:val="false"/>
                  <w:color w:val="0000FF"/>
                  <w:sz w:val="20"/>
                  <w:u w:val="single"/>
                </w:rPr>
                <w:t>Subsidiaries of Federal Realty Investment Trust and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231.htm">
              <w:r>
                <w:rPr>
                  <w:rStyle w:val="InternetLink"/>
                  <w:rFonts w:ascii="Times New Roman;serif" w:hAnsi="Times New Roman;serif"/>
                  <w:b w:val="false"/>
                  <w:color w:val="0000FF"/>
                  <w:sz w:val="20"/>
                  <w:u w:val="single"/>
                </w:rPr>
                <w:t>Consent of Grant Thornton LLP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311.htm">
              <w:r>
                <w:rPr>
                  <w:rStyle w:val="InternetLink"/>
                  <w:rFonts w:ascii="Times New Roman;serif" w:hAnsi="Times New Roman;serif"/>
                  <w:b w:val="false"/>
                  <w:color w:val="0000FF"/>
                  <w:sz w:val="20"/>
                  <w:u w:val="single"/>
                </w:rPr>
                <w:t>Rule 13a-14(a) Certification of Chief Executive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312.htm">
              <w:r>
                <w:rPr>
                  <w:rStyle w:val="InternetLink"/>
                  <w:rFonts w:ascii="Times New Roman;serif" w:hAnsi="Times New Roman;serif"/>
                  <w:b w:val="false"/>
                  <w:color w:val="0000FF"/>
                  <w:sz w:val="20"/>
                  <w:u w:val="single"/>
                </w:rPr>
                <w:t>Rule 13a-14(a) Certification of Chief Financial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313.htm">
              <w:r>
                <w:rPr>
                  <w:rStyle w:val="InternetLink"/>
                  <w:rFonts w:ascii="Times New Roman;serif" w:hAnsi="Times New Roman;serif"/>
                  <w:b w:val="false"/>
                  <w:color w:val="0000FF"/>
                  <w:sz w:val="20"/>
                  <w:u w:val="single"/>
                </w:rPr>
                <w:t>Rule 13a-14(a) Certification of Chief Executive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314.htm">
              <w:r>
                <w:rPr>
                  <w:rStyle w:val="InternetLink"/>
                  <w:rFonts w:ascii="Times New Roman;serif" w:hAnsi="Times New Roman;serif"/>
                  <w:b w:val="false"/>
                  <w:color w:val="0000FF"/>
                  <w:sz w:val="20"/>
                  <w:u w:val="single"/>
                </w:rPr>
                <w:t>Rule 13a-14(a) Certification of Chief Financial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321.htm">
              <w:r>
                <w:rPr>
                  <w:rStyle w:val="InternetLink"/>
                  <w:rFonts w:ascii="Times New Roman;serif" w:hAnsi="Times New Roman;serif"/>
                  <w:b w:val="false"/>
                  <w:color w:val="0000FF"/>
                  <w:sz w:val="20"/>
                  <w:u w:val="single"/>
                </w:rPr>
                <w:t>Section 1350 Certification of Chief Executive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322.htm">
              <w:r>
                <w:rPr>
                  <w:rStyle w:val="InternetLink"/>
                  <w:rFonts w:ascii="Times New Roman;serif" w:hAnsi="Times New Roman;serif"/>
                  <w:b w:val="false"/>
                  <w:color w:val="0000FF"/>
                  <w:sz w:val="20"/>
                  <w:u w:val="single"/>
                </w:rPr>
                <w:t>Section 1350 Certification of Chief Financial Officer - Federal Realty Investment Trust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323.htm">
              <w:r>
                <w:rPr>
                  <w:rStyle w:val="InternetLink"/>
                  <w:rFonts w:ascii="Times New Roman;serif" w:hAnsi="Times New Roman;serif"/>
                  <w:b w:val="false"/>
                  <w:color w:val="0000FF"/>
                  <w:sz w:val="20"/>
                  <w:u w:val="single"/>
                </w:rPr>
                <w:t>Section 1350 Certification of Chief Executive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12312025xex324.htm">
              <w:r>
                <w:rPr>
                  <w:rStyle w:val="InternetLink"/>
                  <w:rFonts w:ascii="Times New Roman;serif" w:hAnsi="Times New Roman;serif"/>
                  <w:b w:val="false"/>
                  <w:color w:val="0000FF"/>
                  <w:sz w:val="20"/>
                  <w:u w:val="single"/>
                </w:rPr>
                <w:t>Section 1350 Certification of Chief Financial Officer - Federal Realty OP LP (filed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Federal Realty Investment Trust and Federal Realty OP LP Clawback Policy (previously filed as </w:t>
            </w:r>
            <w:hyperlink r:id="rId48">
              <w:r>
                <w:rPr>
                  <w:rStyle w:val="InternetLink"/>
                  <w:rFonts w:ascii="Times New Roman;serif" w:hAnsi="Times New Roman;serif"/>
                  <w:b w:val="false"/>
                  <w:color w:val="0000FF"/>
                  <w:sz w:val="20"/>
                  <w:u w:val="single"/>
                </w:rPr>
                <w:t>Exhibit 97</w:t>
              </w:r>
            </w:hyperlink>
            <w:r>
              <w:rPr>
                <w:color w:val="000000"/>
              </w:rPr>
              <w:t xml:space="preserve"> </w:t>
            </w:r>
            <w:r>
              <w:rPr>
                <w:rFonts w:ascii="Times New Roman;serif" w:hAnsi="Times New Roman;serif"/>
                <w:b w:val="false"/>
                <w:color w:val="000000"/>
                <w:sz w:val="20"/>
              </w:rPr>
              <w:t>to the Trust's Annual Report on Form 10-K, filed on February 12, 2024 and incorporated here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this Annual Report on Form 10-K for the year ended December 31, 2025,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required to be filed as an exhibit pursuant to Item 15(b) of Form 10-K.</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Pursuant to Regulation S-K Item 601(b)(4)(iii), the Trust and the Partnership by this filing agree, upon request, to furnish to the Securities and Exchange Commission a copy of other instruments defining the rights of holders of long-term debt of the Trust and the Partnership.</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In this Exhibit Index, the term "Predecessor" refers to Federal Realty Investment Trust before the effectiveness of our UPREIT conversion as described in our Current Reports on Form 8-K filed on January 3 and 5, 2022. Upon completion of the UPREIT conversion, the Partnership became the successor to the Predecessor's rights and obligations under this instrument.</w:t>
      </w:r>
    </w:p>
    <w:p>
      <w:pPr>
        <w:pStyle w:val="TextBody"/>
        <w:bidi w:val="0"/>
        <w:spacing w:lineRule="auto" w:line="256" w:before="0" w:after="0"/>
        <w:jc w:val="left"/>
        <w:rPr/>
      </w:pPr>
      <w:r>
        <w:rPr>
          <w:color w:val="000000"/>
        </w:rPr>
        <w:t xml:space="preserve">₸ </w:t>
      </w:r>
      <w:r>
        <w:rPr>
          <w:rFonts w:ascii="Times New Roman;serif" w:hAnsi="Times New Roman;serif"/>
          <w:b w:val="false"/>
          <w:color w:val="000000"/>
          <w:sz w:val="20"/>
        </w:rPr>
        <w:t>Portions of this exhibit have been redacted because (i) the registrants customarily and actually treat that information as private or confidential and (ii) the omitted information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each of the Registrants have duly caused this Report to be signed on its behalf by the undersigned thereunto duly authorized this February 12, 2026.</w:t>
      </w:r>
    </w:p>
    <w:p>
      <w:pPr>
        <w:pStyle w:val="TextBody"/>
        <w:bidi w:val="0"/>
        <w:spacing w:lineRule="auto" w:line="288" w:before="0" w:after="0"/>
        <w:jc w:val="left"/>
        <w:rPr>
          <w:color w:val="000000"/>
        </w:rPr>
      </w:pPr>
      <w:r>
        <w:rPr>
          <w:color w:val="000000"/>
        </w:rPr>
        <w:t> </w:t>
      </w:r>
    </w:p>
    <w:tbl>
      <w:tblPr>
        <w:tblW w:w="3179" w:type="dxa"/>
        <w:jc w:val="left"/>
        <w:tblInd w:w="0" w:type="dxa"/>
        <w:tblLayout w:type="fixed"/>
        <w:tblCellMar>
          <w:top w:w="28" w:type="dxa"/>
          <w:left w:w="28" w:type="dxa"/>
          <w:bottom w:w="28" w:type="dxa"/>
          <w:right w:w="28" w:type="dxa"/>
        </w:tblCellMar>
      </w:tblPr>
      <w:tblGrid>
        <w:gridCol w:w="151"/>
        <w:gridCol w:w="134"/>
        <w:gridCol w:w="135"/>
        <w:gridCol w:w="806"/>
        <w:gridCol w:w="806"/>
        <w:gridCol w:w="114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Realty Investment Trust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Realty OP LP</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Donald C. Wood</w:t>
              <w:br/>
              <w:t>Chief Executive Officer and Trustee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each of the Registrants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pStyle w:val="TextBody"/>
        <w:bidi w:val="0"/>
        <w:spacing w:lineRule="auto" w:line="288" w:before="0" w:after="0"/>
        <w:jc w:val="left"/>
        <w:rPr>
          <w:color w:val="000000"/>
        </w:rPr>
      </w:pPr>
      <w:r>
        <w:rPr>
          <w:color w:val="000000"/>
        </w:rPr>
        <w:t> </w:t>
      </w:r>
    </w:p>
    <w:tbl>
      <w:tblPr>
        <w:tblW w:w="8453"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1195"/>
        <w:gridCol w:w="1195"/>
        <w:gridCol w:w="1209"/>
        <w:gridCol w:w="109"/>
        <w:gridCol w:w="109"/>
        <w:gridCol w:w="109"/>
        <w:gridCol w:w="477"/>
        <w:gridCol w:w="477"/>
        <w:gridCol w:w="68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Trustee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Donald C.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 Chief Financial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Daniel Guglielmone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Officer and Treasurer (Principal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W. FAEDER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-Executive Chairman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W. Faeder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JOSEPH 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Joseph 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NICOLE Y. LAMB-HALE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Nicole Y. Lamb-Hale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A. MCEACHIN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Thomas A. McEachin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P. NADER,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Anthony P. Nader,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GAIL P. STEINEL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Gail P. Steinel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8 and Item 15(a)(1) and (2)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 and Schedules</w:t>
      </w:r>
    </w:p>
    <w:p>
      <w:pPr>
        <w:pStyle w:val="TextBody"/>
        <w:bidi w:val="0"/>
        <w:spacing w:lineRule="auto" w:line="288" w:before="0" w:after="0"/>
        <w:jc w:val="left"/>
        <w:rPr>
          <w:color w:val="000000"/>
        </w:rPr>
      </w:pPr>
      <w:r>
        <w:rPr>
          <w:color w:val="000000"/>
        </w:rPr>
        <w:t> </w:t>
      </w:r>
    </w:p>
    <w:tbl>
      <w:tblPr>
        <w:tblW w:w="9810" w:type="dxa"/>
        <w:jc w:val="left"/>
        <w:tblInd w:w="0" w:type="dxa"/>
        <w:tblLayout w:type="fixed"/>
        <w:tblCellMar>
          <w:top w:w="28" w:type="dxa"/>
          <w:left w:w="28" w:type="dxa"/>
          <w:bottom w:w="28" w:type="dxa"/>
          <w:right w:w="28" w:type="dxa"/>
        </w:tblCellMar>
      </w:tblPr>
      <w:tblGrid>
        <w:gridCol w:w="3236"/>
        <w:gridCol w:w="2844"/>
        <w:gridCol w:w="2860"/>
        <w:gridCol w:w="254"/>
        <w:gridCol w:w="254"/>
        <w:gridCol w:w="362"/>
      </w:tblGrid>
      <w:tr>
        <w:trPr/>
        <w:tc>
          <w:tcPr>
            <w:tcW w:w="323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No.</w:t>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 PCAOB ID Number 248)</w:t>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5132e083c0594d729405270ebbf0218e_112">
              <w:r>
                <w:rPr>
                  <w:rStyle w:val="InternetLink"/>
                  <w:rFonts w:ascii="Times New Roman;serif" w:hAnsi="Times New Roman;serif"/>
                  <w:b w:val="false"/>
                  <w:color w:val="000080"/>
                  <w:sz w:val="20"/>
                  <w:u w:val="single"/>
                </w:rPr>
                <w:t>2</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5132e083c0594d729405270ebbf0218e_127">
              <w:r>
                <w:rPr>
                  <w:rStyle w:val="InternetLink"/>
                  <w:rFonts w:ascii="Times New Roman;serif" w:hAnsi="Times New Roman;serif"/>
                  <w:b w:val="false"/>
                  <w:color w:val="000080"/>
                  <w:sz w:val="20"/>
                  <w:u w:val="single"/>
                </w:rPr>
                <w:t>8</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Years Ended December 31, 2025, 2024, and 2023</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5132e083c0594d729405270ebbf0218e_130">
              <w:r>
                <w:rPr>
                  <w:rStyle w:val="InternetLink"/>
                  <w:rFonts w:ascii="Times New Roman;serif" w:hAnsi="Times New Roman;serif"/>
                  <w:b w:val="false"/>
                  <w:color w:val="000080"/>
                  <w:sz w:val="20"/>
                  <w:u w:val="single"/>
                </w:rPr>
                <w:t>9</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for the Years Ended December 31, 2025, 2024, and 2023</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5132e083c0594d729405270ebbf0218e_133">
              <w:r>
                <w:rPr>
                  <w:rStyle w:val="InternetLink"/>
                  <w:rFonts w:ascii="Times New Roman;serif" w:hAnsi="Times New Roman;serif"/>
                  <w:b w:val="false"/>
                  <w:color w:val="000080"/>
                  <w:sz w:val="20"/>
                  <w:u w:val="single"/>
                </w:rPr>
                <w:t>10</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5132e083c0594d729405270ebbf0218e_136">
              <w:r>
                <w:rPr>
                  <w:rStyle w:val="InternetLink"/>
                  <w:rFonts w:ascii="Times New Roman;serif" w:hAnsi="Times New Roman;serif"/>
                  <w:b w:val="false"/>
                  <w:color w:val="000080"/>
                  <w:sz w:val="20"/>
                  <w:u w:val="single"/>
                </w:rPr>
                <w:t>11</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32e083c0594d729405270ebbf0218e_142">
              <w:r>
                <w:rPr>
                  <w:rStyle w:val="InternetLink"/>
                  <w:rFonts w:ascii="Times New Roman;serif" w:hAnsi="Times New Roman;serif"/>
                  <w:b w:val="false"/>
                  <w:color w:val="0000FF"/>
                  <w:sz w:val="20"/>
                  <w:u w:val="single"/>
                </w:rPr>
                <w:t>F-12</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Years Ended December 31, 2025, 2024, and 2023</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32e083c0594d729405270ebbf0218e_145">
              <w:r>
                <w:rPr>
                  <w:rStyle w:val="InternetLink"/>
                  <w:rFonts w:ascii="Times New Roman;serif" w:hAnsi="Times New Roman;serif"/>
                  <w:b w:val="false"/>
                  <w:color w:val="0000FF"/>
                  <w:sz w:val="20"/>
                  <w:u w:val="single"/>
                </w:rPr>
                <w:t>F-13</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Capital for the Years Ended December 31, 2025, 2024, and 2023</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32e083c0594d729405270ebbf0218e_148">
              <w:r>
                <w:rPr>
                  <w:rStyle w:val="InternetLink"/>
                  <w:rFonts w:ascii="Times New Roman;serif" w:hAnsi="Times New Roman;serif"/>
                  <w:b w:val="false"/>
                  <w:color w:val="0000FF"/>
                  <w:sz w:val="20"/>
                  <w:u w:val="single"/>
                </w:rPr>
                <w:t>F-14</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132e083c0594d729405270ebbf0218e_151">
              <w:r>
                <w:rPr>
                  <w:rStyle w:val="InternetLink"/>
                  <w:rFonts w:ascii="Times New Roman;serif" w:hAnsi="Times New Roman;serif"/>
                  <w:b w:val="false"/>
                  <w:color w:val="0000FF"/>
                  <w:sz w:val="20"/>
                  <w:u w:val="single"/>
                </w:rPr>
                <w:t>F-15</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5132e083c0594d729405270ebbf0218e_154">
              <w:r>
                <w:rPr>
                  <w:rStyle w:val="InternetLink"/>
                  <w:rFonts w:ascii="Times New Roman;serif" w:hAnsi="Times New Roman;serif"/>
                  <w:b w:val="false"/>
                  <w:color w:val="000080"/>
                  <w:sz w:val="20"/>
                  <w:u w:val="single"/>
                </w:rPr>
                <w:t>16</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Statement Schedules</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III—Summary of Real Estate and Accumulated Depreciation</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5132e083c0594d729405270ebbf0218e_205">
              <w:r>
                <w:rPr>
                  <w:rStyle w:val="InternetLink"/>
                  <w:rFonts w:ascii="Times New Roman;serif" w:hAnsi="Times New Roman;serif"/>
                  <w:b w:val="false"/>
                  <w:color w:val="000080"/>
                  <w:sz w:val="20"/>
                  <w:u w:val="single"/>
                </w:rPr>
                <w:t>41</w:t>
              </w:r>
            </w:hyperlink>
          </w:p>
        </w:tc>
      </w:tr>
      <w:tr>
        <w:trPr/>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IV—Mortgage Loans on Real Estate</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5132e083c0594d729405270ebbf0218e_211">
              <w:r>
                <w:rPr>
                  <w:rStyle w:val="InternetLink"/>
                  <w:rFonts w:ascii="Times New Roman;serif" w:hAnsi="Times New Roman;serif"/>
                  <w:b w:val="false"/>
                  <w:color w:val="000080"/>
                  <w:sz w:val="20"/>
                  <w:u w:val="single"/>
                </w:rPr>
                <w:t>49</w:t>
              </w:r>
            </w:hyperlink>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All other schedules have been omitted either because the information is not applicable, not material, or is disclosed in our consolidated financial statements and related notes.</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Trustees and Shareholders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Realty Investment Trust</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68" w:before="100" w:after="283"/>
        <w:jc w:val="left"/>
        <w:rPr/>
      </w:pPr>
      <w:r>
        <w:rPr>
          <w:rFonts w:ascii="Times New Roman;serif" w:hAnsi="Times New Roman;serif"/>
          <w:b w:val="false"/>
          <w:color w:val="000000"/>
          <w:sz w:val="20"/>
        </w:rPr>
        <w:t xml:space="preserve">We have audited the internal control over financial reporting of Federal Realty Investment Trust (a Maryland real estate investment trust) and subsidiaries (collectively, the "Trust")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Trust maintained, in all material respects, effective internal control over financial reporting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financial statements of the Trust as of and for the year ended December 31, 2025, and our report dated February 12, 2026 expressed an unqualified opinion on those financial statements.</w:t>
      </w:r>
    </w:p>
    <w:p>
      <w:pPr>
        <w:pStyle w:val="TextBody"/>
        <w:bidi w:val="0"/>
        <w:spacing w:before="0" w:after="0"/>
        <w:jc w:val="both"/>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Trust’s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Jacksonville, Florida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12, 2026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Trustees and Shareholders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Realty Investment Trust</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Federal Realty Investment Trust (a Maryland real estate investment trust) and subsidiaries (collectively, the "Trust") as of December 31, 2025 and 2024, the related consolidated statements of comprehensive income, shareholders’ equity, and cash flows for each of the three years in the period ended December 31, 2025, and the related notes and financial statement schedules included under Item 15(a)(2) (collectively referred to as the “consolidated financial statements”). In our opinion, the consolidated financial statements present fairly, in all material respects, the financial position of the Trust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also have audited, in accordance with the standards of the Public Company Accounting Oversight Board (United States) (“PCAOB”), the Trust’s internal control over financial reporting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issued by the Committee of Sponsoring Organizations of the Treadway Commission (“COSO”), and our report dated February 12, 2026 expressed an unqualified opinion.</w:t>
      </w:r>
    </w:p>
    <w:p>
      <w:pPr>
        <w:pStyle w:val="TextBody"/>
        <w:bidi w:val="0"/>
        <w:spacing w:before="0" w:after="0"/>
        <w:jc w:val="both"/>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Trust’s management. Our responsibility is to express an opinion on the Trust’s consolidated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Lease Collectibility Assessment</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In order to recognize rental income on an accrual basis, the Trust must determine whether substantially all the rents due under a lease arrangement are collectible. If the Trust reaches the conclusion that substantially all of the rents are not collectible for a specific lease, then rental income under that arrangement can only be recognized when cash payment from the tenant is received.</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judgment is exercised by the Trust when making a collectibility assessment and includes the following considerations which require challenging and subjective auditor judgment in the execution of our audit procedures:</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Creditworthiness of the tenant</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Current economic conditions</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Historical experience with the tenant and other tenants operating in the same industry </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rPr>
        <w:t>Our audit procedures related to the collectibility assessment</w:t>
      </w:r>
      <w:r>
        <w:rPr>
          <w:color w:val="0000FF"/>
        </w:rPr>
        <w:t xml:space="preserve"> </w:t>
      </w:r>
      <w:r>
        <w:rPr>
          <w:rFonts w:ascii="Times New Roman;serif" w:hAnsi="Times New Roman;serif"/>
          <w:b w:val="false"/>
          <w:color w:val="000000"/>
          <w:sz w:val="20"/>
        </w:rPr>
        <w:t>included the following:</w:t>
      </w:r>
    </w:p>
    <w:p>
      <w:pPr>
        <w:pStyle w:val="TextBody"/>
        <w:bidi w:val="0"/>
        <w:spacing w:lineRule="auto" w:line="256" w:before="100" w:after="283"/>
        <w:ind w:left="0" w:right="0" w:hanging="360"/>
        <w:jc w:val="left"/>
        <w:rPr/>
      </w:pPr>
      <w:r>
        <w:rPr>
          <w:color w:val="000000"/>
        </w:rPr>
        <w:t>•</w:t>
      </w:r>
      <w:r>
        <w:rPr>
          <w:rFonts w:ascii="Times New Roman;serif" w:hAnsi="Times New Roman;serif"/>
          <w:b w:val="false"/>
          <w:color w:val="000000"/>
          <w:sz w:val="20"/>
        </w:rPr>
        <w:t>We tested the design and tested the operating effectiveness of internal controls relating to the collectibility assessment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We evaluated management’s accounting policies related to this assessment.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We verified the completeness of the population of tenants that management evaluated.</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We researched recent publicly available information, including information for a selection of tenants with the highest rental income recognized in the year ended December 31, 2025, such as bankruptcy filings, industry journals, and periodicals, and for any of the Trust’s tenants identified in our research, we evaluated whether such information was considered in management’s collectibility assessment.</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For a selection of tenant receivables where collectibility was deemed as probable, we evaluated the collectibility assessment conclusion reached by management and performed the following procedures for each selection: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Verified that management’s accounting policies related to the collectibility assessment were followed.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Inspected documentation from management such as tenant collection history and any direct correspondence and evaluated management’s considerations supporting the collectibility assessment conclusion reached.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Recalculated the aging using supporting documentation.</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Researched publicly available information to independently verify the completeness and accuracy of management’s information used to make the collectibility assessment.</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Trust’s auditor since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Jacksonville, Florida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12, 2026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Trustees and Unitholders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Realty OP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00" w:after="283"/>
        <w:jc w:val="left"/>
        <w:rPr/>
      </w:pPr>
      <w:r>
        <w:rPr>
          <w:rFonts w:ascii="Times New Roman;serif" w:hAnsi="Times New Roman;serif"/>
          <w:b w:val="false"/>
          <w:color w:val="000000"/>
          <w:sz w:val="20"/>
        </w:rPr>
        <w:t xml:space="preserve">We have audited the internal control over financial reporting of Federal Realty OP LP (a Delaware limited partnership) and subsidiaries (collectively, the “Operating Partnership”)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Operating Partnership maintained, in all material respects, effective internal control over financial reporting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financial statements of the Operating Partnership as of and for the year ended December 31, 2025, and our report dated February 12, 2026 expressed an unqualified opinion on those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Partnership’s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Operating Partnership’s internal control over financial reporting based on our audit.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Jacksonville, Florida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12,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Trustees and Unitholders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Realty OP LP</w:t>
      </w:r>
    </w:p>
    <w:p>
      <w:pPr>
        <w:pStyle w:val="TextBody"/>
        <w:bidi w:val="0"/>
        <w:spacing w:before="0" w:after="0"/>
        <w:jc w:val="left"/>
        <w:rPr/>
      </w:pPr>
      <w:r>
        <w:rPr/>
      </w:r>
    </w:p>
    <w:p>
      <w:pPr>
        <w:pStyle w:val="TextBody"/>
        <w:bidi w:val="0"/>
        <w:spacing w:lineRule="auto" w:line="374" w:before="10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Federal Realty OP LP (a Delaware limited partnership) and subsidiaries (collectively, the "Operating Partnership") as of December 31, 2025 and 2024, the related consolidated statements of comprehensive income, capital, and cash flows for each of the three years in the period ended December 31, 2025, and the related notes and financial statement schedules included under Item 15(a)(2) (collectively referred to as the “consolidated financial statements”). In our opinion, the consolidated financial statements present fairly, in all material respects, the financial position of the Operating Partnership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also have audited, in accordance with the standards of the Public Company Accounting Oversight Board (United States) (“PCAOB”), the Operating Partnership’s internal control over financial reporting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and our report dated February 12, 2026 expressed an unqualified opinion.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5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the responsibility of the Operating Partnership’s management. Our responsibility is to express an opinion on the Operating Partnership’s consolidated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Lease Collectibility Assessment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order to recognize rental income on an accrual basis, the Operating Partnership must determine whether substantially all the rents due under a lease arrangement are collectible. If the Operating Partnership reaches the conclusion that substantially all of the rents are not collectible for a specific lease, then rental income under that arrangement can only be recognized when cash payment from the tenant is received.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judgment is exercised by the Operating Partnership when making a collectibility assessment and includes the following considerations which require challenging and subjective auditor judgment in the execution of our audit procedures:</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Creditworthiness of the tenant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Current economic conditions</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Historical experience with the tenant and other tenants operating in the same industry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collectibility assessment included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We tested the design and tested the operating effectiveness of internal controls relating to the collectibility assessment process.</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We evaluated management’s accounting policies related to this assessment.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We verified the completeness of the population of tenants that management evaluated.</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We researched recent publicly available information, including information for a selection of tenants with the highest rental income recognized in the year ended December 31, 2025, such as bankruptcy filings, industry journals, and periodicals, and for any of the Operating Partnership’s tenants identified in our research, we evaluated whether such information was considered in management’s collectibility assessment.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For a selection of tenants where collectibility was deemed as probable, we evaluated the collectibility assessment conclusion reached by management and performed the following procedures for each selection: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Verified that management’s accounting policies related to the collectibility assessment were followed.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 xml:space="preserve">Inspected documentation from management such as tenant collection history and any direct correspondence     and evaluated management’s considerations supporting the collectibility assessment conclusion reached. </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Recalculated the aging using supporting documentation.</w:t>
      </w:r>
    </w:p>
    <w:p>
      <w:pPr>
        <w:pStyle w:val="TextBody"/>
        <w:bidi w:val="0"/>
        <w:spacing w:lineRule="auto" w:line="256" w:before="60" w:after="283"/>
        <w:ind w:left="0" w:right="0" w:hanging="360"/>
        <w:jc w:val="left"/>
        <w:rPr/>
      </w:pPr>
      <w:r>
        <w:rPr>
          <w:color w:val="000000"/>
        </w:rPr>
        <w:t>◦</w:t>
      </w:r>
      <w:r>
        <w:rPr>
          <w:rFonts w:ascii="Times New Roman;serif" w:hAnsi="Times New Roman;serif"/>
          <w:b w:val="false"/>
          <w:color w:val="000000"/>
          <w:sz w:val="20"/>
        </w:rPr>
        <w:t>Researched publicly available information to independently verify the completeness and accuracy of management’s information used to make the collectibility assessment.</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Operating Partnership's auditor since 2022.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Jacksonville, Florida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12,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07"/>
        <w:gridCol w:w="1982"/>
        <w:gridCol w:w="1954"/>
        <w:gridCol w:w="223"/>
        <w:gridCol w:w="1144"/>
        <w:gridCol w:w="115"/>
        <w:gridCol w:w="115"/>
        <w:gridCol w:w="115"/>
        <w:gridCol w:w="115"/>
        <w:gridCol w:w="223"/>
        <w:gridCol w:w="1144"/>
        <w:gridCol w:w="168"/>
      </w:tblGrid>
      <w:tr>
        <w:trPr/>
        <w:tc>
          <w:tcPr>
            <w:tcW w:w="2907"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r>
      <w:tr>
        <w:trPr/>
        <w:tc>
          <w:tcPr>
            <w:tcW w:w="6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$1,832,190 and $1,825,656 of consolidated variable interest entities, respectively)</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11,265,167 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10,363,961 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$28,418 and $9,939 of consolidated variable interest entities, respectively)</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10,903,713 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$468,725 and $424,044 of consolidated variable interest entities, respectively)</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(3,351,881)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8,288,021 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7,750,914 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$194,176 and $186,643 of consolidated variable interest entities, respectively)</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5,629,819 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5,100,327 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authorized 15,000,000 shares, $0.01 par:</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(stated at liquidation preference $25,000 per share), 6,000 shares issued and outstanding</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 (stated at liquidation preference $25 per share), 392,878 shares issued and outstanding</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$0.01 par, 200,000,000 shares authorized, 86,266,009 and 85,666,220 shares issued and outstanding, respectively</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4,310,365 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4,248,824 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dividends in excess of net income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(1,242,654)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of the Trust</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3,248,731 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3,171,594 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3,244,144 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094"/>
        <w:gridCol w:w="1758"/>
        <w:gridCol w:w="1765"/>
        <w:gridCol w:w="211"/>
        <w:gridCol w:w="976"/>
        <w:gridCol w:w="109"/>
        <w:gridCol w:w="109"/>
        <w:gridCol w:w="109"/>
        <w:gridCol w:w="109"/>
        <w:gridCol w:w="211"/>
        <w:gridCol w:w="976"/>
        <w:gridCol w:w="109"/>
        <w:gridCol w:w="109"/>
        <w:gridCol w:w="109"/>
        <w:gridCol w:w="109"/>
        <w:gridCol w:w="211"/>
        <w:gridCol w:w="976"/>
        <w:gridCol w:w="155"/>
      </w:tblGrid>
      <w:tr>
        <w:trPr/>
        <w:tc>
          <w:tcPr>
            <w:tcW w:w="209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1,132,154 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COMMON SHARE, BASIC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81,313 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 change in value of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235,280 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Shareholders’ Equity</w:t>
      </w:r>
    </w:p>
    <w:tbl>
      <w:tblPr>
        <w:tblW w:w="12808" w:type="dxa"/>
        <w:jc w:val="center"/>
        <w:tblInd w:w="0" w:type="dxa"/>
        <w:tblLayout w:type="fixed"/>
        <w:tblCellMar>
          <w:top w:w="28" w:type="dxa"/>
          <w:left w:w="28" w:type="dxa"/>
          <w:bottom w:w="28" w:type="dxa"/>
          <w:right w:w="28" w:type="dxa"/>
        </w:tblCellMar>
      </w:tblPr>
      <w:tblGrid>
        <w:gridCol w:w="402"/>
        <w:gridCol w:w="301"/>
        <w:gridCol w:w="303"/>
        <w:gridCol w:w="323"/>
        <w:gridCol w:w="323"/>
        <w:gridCol w:w="196"/>
        <w:gridCol w:w="109"/>
        <w:gridCol w:w="109"/>
        <w:gridCol w:w="109"/>
        <w:gridCol w:w="181"/>
        <w:gridCol w:w="646"/>
        <w:gridCol w:w="109"/>
        <w:gridCol w:w="109"/>
        <w:gridCol w:w="109"/>
        <w:gridCol w:w="109"/>
        <w:gridCol w:w="420"/>
        <w:gridCol w:w="421"/>
        <w:gridCol w:w="196"/>
        <w:gridCol w:w="109"/>
        <w:gridCol w:w="109"/>
        <w:gridCol w:w="109"/>
        <w:gridCol w:w="187"/>
        <w:gridCol w:w="390"/>
        <w:gridCol w:w="114"/>
        <w:gridCol w:w="109"/>
        <w:gridCol w:w="109"/>
        <w:gridCol w:w="109"/>
        <w:gridCol w:w="181"/>
        <w:gridCol w:w="766"/>
        <w:gridCol w:w="109"/>
        <w:gridCol w:w="109"/>
        <w:gridCol w:w="109"/>
        <w:gridCol w:w="109"/>
        <w:gridCol w:w="181"/>
        <w:gridCol w:w="776"/>
        <w:gridCol w:w="109"/>
        <w:gridCol w:w="109"/>
        <w:gridCol w:w="109"/>
        <w:gridCol w:w="109"/>
        <w:gridCol w:w="280"/>
        <w:gridCol w:w="767"/>
        <w:gridCol w:w="169"/>
        <w:gridCol w:w="109"/>
        <w:gridCol w:w="109"/>
        <w:gridCol w:w="109"/>
        <w:gridCol w:w="252"/>
        <w:gridCol w:w="796"/>
        <w:gridCol w:w="153"/>
        <w:gridCol w:w="109"/>
        <w:gridCol w:w="109"/>
        <w:gridCol w:w="109"/>
        <w:gridCol w:w="187"/>
        <w:gridCol w:w="793"/>
        <w:gridCol w:w="161"/>
      </w:tblGrid>
      <w:tr>
        <w:trPr/>
        <w:tc>
          <w:tcPr>
            <w:tcW w:w="40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0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 except share data)</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398,878 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81,342,959 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3,821,801 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(1,034,186)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5,757 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80,003 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3,034,015 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Net income, excluding $7,253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239,964 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Other comprehensive loss - change in value of interest rate swaps, excluding $119 attributable to redeemable 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Dividends declared to common shareholders ($4.34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(355,241)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declared to preferred shareholders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Distributions declared to noncontrolling interests, excluding $9,539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issued,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1,310,118 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131,729 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issued under dividend reinvestment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expense, net of forfeitures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139,248 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withheld for employee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(46,009)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and redemption of downREIT OP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82,775,286 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3,959,276 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(1,160,474)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4,052 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78,650 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3,042,159 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Net income, excluding $7,022 attributable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297,312 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Other comprehensive income - change in value of interest rate swaps, excluding $23 attributable to redeemable 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Dividends declared to common shareholders ($4.38 per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(369,232)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declared to preferred shareholders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equivalent rights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Distributions declared to noncontrolling interests, excluding $8,854 attributable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(4,239)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issued,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2,769,747 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303,931 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issued under dividend reinvestment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expense, net of forfeitures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149,510 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withheld for employee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(64,635)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and redemption of downREIT OP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 of capped calls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 of 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85,666,220 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4,248,824 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(1,242,654)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72,550 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3,244,144 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Net income, excluding $8,138 attributable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415,510 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Other comprehensive loss - change in value of interest rate swaps, excluding $210 attributable to redeemable 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Dividends declared to common shareholders ($4.46 per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(384,763)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(384,763)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declared to preferred shareholders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Distributions declared to noncontrolling interests, excluding $8,459 attributable to redeemable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(5,345)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issued,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476,731 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issued under dividend reinvestment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expense, net of forfeitures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147,801 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withheld for employee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(45,040)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and redemption of downREIT OP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 to redeemable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86,266,009 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4,310,365 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(1,224,372)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70,255 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3,318,986 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08"/>
        <w:gridCol w:w="1924"/>
        <w:gridCol w:w="1934"/>
        <w:gridCol w:w="211"/>
        <w:gridCol w:w="826"/>
        <w:gridCol w:w="109"/>
        <w:gridCol w:w="109"/>
        <w:gridCol w:w="109"/>
        <w:gridCol w:w="109"/>
        <w:gridCol w:w="211"/>
        <w:gridCol w:w="826"/>
        <w:gridCol w:w="109"/>
        <w:gridCol w:w="109"/>
        <w:gridCol w:w="109"/>
        <w:gridCol w:w="109"/>
        <w:gridCol w:w="211"/>
        <w:gridCol w:w="826"/>
        <w:gridCol w:w="156"/>
      </w:tblGrid>
      <w:tr>
        <w:trPr/>
        <w:tc>
          <w:tcPr>
            <w:tcW w:w="2208"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property sold under threat of condemnation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under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and extension of mortgages and notes payable,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common and preferred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and acquisition/redemptions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18"/>
        <w:gridCol w:w="2067"/>
        <w:gridCol w:w="2044"/>
        <w:gridCol w:w="211"/>
        <w:gridCol w:w="1081"/>
        <w:gridCol w:w="109"/>
        <w:gridCol w:w="109"/>
        <w:gridCol w:w="109"/>
        <w:gridCol w:w="109"/>
        <w:gridCol w:w="211"/>
        <w:gridCol w:w="1081"/>
        <w:gridCol w:w="156"/>
      </w:tblGrid>
      <w:tr>
        <w:trPr/>
        <w:tc>
          <w:tcPr>
            <w:tcW w:w="2918"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unit data)</w:t>
            </w:r>
          </w:p>
        </w:tc>
      </w:tr>
      <w:tr>
        <w:trPr/>
        <w:tc>
          <w:tcPr>
            <w:tcW w:w="7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$1,832,190 and $1,825,656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$28,418 and $9,939 of consolidated variable interest entities,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10,903,713 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$468,725 and $424,044 of consolidated variable interest entities,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7,750,914 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CAPITAL</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$194,176 and $186,643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5,100,327 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capital</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units, 398,878 units issued and outstanding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units, 86,266,009 and 85,666,220 units issued and outstanding,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 capital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3,171,594 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consolidated partnerships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094"/>
        <w:gridCol w:w="1758"/>
        <w:gridCol w:w="1765"/>
        <w:gridCol w:w="211"/>
        <w:gridCol w:w="976"/>
        <w:gridCol w:w="109"/>
        <w:gridCol w:w="109"/>
        <w:gridCol w:w="109"/>
        <w:gridCol w:w="109"/>
        <w:gridCol w:w="211"/>
        <w:gridCol w:w="976"/>
        <w:gridCol w:w="109"/>
        <w:gridCol w:w="109"/>
        <w:gridCol w:w="109"/>
        <w:gridCol w:w="109"/>
        <w:gridCol w:w="211"/>
        <w:gridCol w:w="976"/>
        <w:gridCol w:w="155"/>
      </w:tblGrid>
      <w:tr>
        <w:trPr/>
        <w:tc>
          <w:tcPr>
            <w:tcW w:w="209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unit data)</w:t>
            </w:r>
          </w:p>
        </w:tc>
      </w:tr>
      <w:tr>
        <w:trPr/>
        <w:tc>
          <w:tcPr>
            <w:tcW w:w="5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1,132,154 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PARTNERSHIP</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units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COMMON UNIT, BASIC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units</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UNIT, DILUTED</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units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81,313 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 change in value of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THE PARTNERSHIP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235,280 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Federal Realty OP LP</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Consolidated Statements of Capital</w:t>
      </w:r>
    </w:p>
    <w:tbl>
      <w:tblPr>
        <w:tblW w:w="10205" w:type="dxa"/>
        <w:jc w:val="left"/>
        <w:tblInd w:w="0" w:type="dxa"/>
        <w:tblLayout w:type="fixed"/>
        <w:tblCellMar>
          <w:top w:w="28" w:type="dxa"/>
          <w:left w:w="28" w:type="dxa"/>
          <w:bottom w:w="28" w:type="dxa"/>
          <w:right w:w="28" w:type="dxa"/>
        </w:tblCellMar>
      </w:tblPr>
      <w:tblGrid>
        <w:gridCol w:w="579"/>
        <w:gridCol w:w="460"/>
        <w:gridCol w:w="463"/>
        <w:gridCol w:w="109"/>
        <w:gridCol w:w="109"/>
        <w:gridCol w:w="109"/>
        <w:gridCol w:w="182"/>
        <w:gridCol w:w="652"/>
        <w:gridCol w:w="109"/>
        <w:gridCol w:w="109"/>
        <w:gridCol w:w="109"/>
        <w:gridCol w:w="109"/>
        <w:gridCol w:w="181"/>
        <w:gridCol w:w="767"/>
        <w:gridCol w:w="109"/>
        <w:gridCol w:w="109"/>
        <w:gridCol w:w="109"/>
        <w:gridCol w:w="109"/>
        <w:gridCol w:w="109"/>
        <w:gridCol w:w="109"/>
        <w:gridCol w:w="252"/>
        <w:gridCol w:w="691"/>
        <w:gridCol w:w="153"/>
        <w:gridCol w:w="109"/>
        <w:gridCol w:w="109"/>
        <w:gridCol w:w="109"/>
        <w:gridCol w:w="185"/>
        <w:gridCol w:w="786"/>
        <w:gridCol w:w="111"/>
        <w:gridCol w:w="109"/>
        <w:gridCol w:w="109"/>
        <w:gridCol w:w="109"/>
        <w:gridCol w:w="260"/>
        <w:gridCol w:w="820"/>
        <w:gridCol w:w="158"/>
        <w:gridCol w:w="109"/>
        <w:gridCol w:w="109"/>
        <w:gridCol w:w="109"/>
        <w:gridCol w:w="181"/>
        <w:gridCol w:w="766"/>
        <w:gridCol w:w="160"/>
      </w:tblGrid>
      <w:tr>
        <w:trPr/>
        <w:tc>
          <w:tcPr>
            <w:tcW w:w="5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Capital</w:t>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9" w:type="dxa"/>
            <w:gridSpan w:val="3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6"/>
            <w:tcBorders/>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2,954,012 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80,003 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3,034,015 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Net income, excluding $7,253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236,985 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239,964 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Other comprehensive loss - change in fair value of interest rate swaps, excluding $119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(355,241)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(355,241)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Distributions declared to noncontrolling interests in consolidated partnerships, excluding $9,539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131,729 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131,729 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and 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2,804,669 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4,052 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2,963,509 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78,650 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3,042,159 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Net income, excluding $7,022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295,208 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297,312 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Other comprehensive income - change in fair value of interest rate swaps, excluding $23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(369,232)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(369,232)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 equivalent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Distributions declared to noncontrolling interests in consolidated partnerships, excluding $8,854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303,931 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303,931 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and 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(19,448)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(12,358)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3,012,066 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4,740 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3,171,594 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72,550 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3,244,144 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Net income, excluding $8,138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411,077 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415,510 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Other comprehensive loss - change in fair value of interest rate swaps, excluding $210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(384,763)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(384,763)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(384,763)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Distributions declared to noncontrolling interests in consolidated partnerships, excluding $8,459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and redemption of downREIT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3,091,896 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3,248,731 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70,255 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3,318,986 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08"/>
        <w:gridCol w:w="1924"/>
        <w:gridCol w:w="1934"/>
        <w:gridCol w:w="211"/>
        <w:gridCol w:w="826"/>
        <w:gridCol w:w="109"/>
        <w:gridCol w:w="109"/>
        <w:gridCol w:w="109"/>
        <w:gridCol w:w="109"/>
        <w:gridCol w:w="211"/>
        <w:gridCol w:w="826"/>
        <w:gridCol w:w="109"/>
        <w:gridCol w:w="109"/>
        <w:gridCol w:w="109"/>
        <w:gridCol w:w="109"/>
        <w:gridCol w:w="211"/>
        <w:gridCol w:w="826"/>
        <w:gridCol w:w="156"/>
      </w:tblGrid>
      <w:tr>
        <w:trPr/>
        <w:tc>
          <w:tcPr>
            <w:tcW w:w="2208"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61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 and dispositions: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security deposits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development and redevelopment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property sold under threat of condemnation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partnerships in excess of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(358,325)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under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senior notes,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and extension of mortgages and notes payable,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mortgages, finance leases, and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units,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common and preferred unit 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 withheld for employee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and acquisition/redemptions of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2024 and 2023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1—BUSINESS AND ORGANIZATION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Federal Realty Investment Trust (the “Parent Company” and "Trust") is an equity real estate investment trust (“REIT”). Federal Realty OP LP (the "Operating Partnership") is the entity through which the Parent Company conducts substantially all of its operating and owns all of its assets. The Parent Company owns 100% of the limited liability company interests of, is sole member of, and exercises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in major coastal markets and select underserved markets that we believe have strong economic and demographic fundamentals. As of December 31, 2025, we owned or had a majority interest in community and neighborhood shopping centers and mixed-use properties which are operated as 104 predominantly retail real estate projects.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General Economic Conditions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uncertainty continues within the macro-economic environment including inflation risk, changes in interest rates, new or higher tariffs and their impact on trade and prices, increases or decreases in federal and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economic environment. The extent of the future effects on our business, results of operations, cash flows, and growth strategies is highly uncertain and will ultimately depend on future developments, none of which can be predicted.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discussed in the Explanatory Note, we have combined the Annual Reports on Form 10-K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the primary beneficiary of a variable interest entity (“VIE”). The Parent Company's consolidated financial statements include the accounts of the Operating Partnership and its subsidiaries as the Parent, and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Revenue Recognition and Accounts Receivable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If leases currently classified as not probable are subsequently changed to probable, any lease receivables (including straight-line rent receivables) are re-instated with a corresponding increase to rental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our straight-line rent receivables balance was $189.3 million and $164.6 million, respectively, and is included in "accounts and notes receivable, net" on our consolidated balance sheet.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Other revenue recognition policies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Sales of real estate are recognized upon the transfer of control, which usually occurs when the real estate is legally sold. 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 includes revenue for our Pike &amp; Rose hotel, parking income and other incidental income from the properties and is generally recognized as the performance obligation is met.</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2025, 2024 and 2023, real estate depreciation expense was $319.6 million, $302.4 million and $282.0 million, respectively, including amounts from real estate sold.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acquired leases, assumed debt, if any, and to current assets acquired and current liabilities assumed, if any. The value allocated to acquired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acquired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Long-Lived Assets and Impairment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 During the fourth quarter of 2025, we recognized a $7.4 million impairment charge related to our North Dartmouth property, as a result of an impairment analysis.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2025, we had $111.9 million in excess of the FDIC insured limit.</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Prepaid Expenses and Other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These costs include third party commissions related to obtaining a lease. Capitalized lease costs are amortized over the initial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If a tenant vacates its space prior to the contractual termination of its lease, the unamortized balance of any previously capitalized lease costs are written off.</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Debt Issuance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and our undrawn $250.0 million unsecured term loan are classified as an asset and are included in "prepaid expenses and other assets" in our consolidated balance sheets. All other debt issuance costs are presented as a direct deduction from the carrying amount of the debt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Derivative Instruments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we have interest rate swap agreements that effectively fix the rate on the following debt instruments:</w:t>
      </w:r>
    </w:p>
    <w:tbl>
      <w:tblPr>
        <w:tblW w:w="10205" w:type="dxa"/>
        <w:jc w:val="left"/>
        <w:tblInd w:w="0" w:type="dxa"/>
        <w:tblLayout w:type="fixed"/>
        <w:tblCellMar>
          <w:top w:w="28" w:type="dxa"/>
          <w:left w:w="28" w:type="dxa"/>
          <w:bottom w:w="28" w:type="dxa"/>
          <w:right w:w="28" w:type="dxa"/>
        </w:tblCellMar>
      </w:tblPr>
      <w:tblGrid>
        <w:gridCol w:w="452"/>
        <w:gridCol w:w="339"/>
        <w:gridCol w:w="337"/>
        <w:gridCol w:w="232"/>
        <w:gridCol w:w="232"/>
        <w:gridCol w:w="234"/>
        <w:gridCol w:w="109"/>
        <w:gridCol w:w="109"/>
        <w:gridCol w:w="109"/>
        <w:gridCol w:w="601"/>
        <w:gridCol w:w="1755"/>
        <w:gridCol w:w="313"/>
        <w:gridCol w:w="109"/>
        <w:gridCol w:w="109"/>
        <w:gridCol w:w="109"/>
        <w:gridCol w:w="449"/>
        <w:gridCol w:w="396"/>
        <w:gridCol w:w="990"/>
        <w:gridCol w:w="109"/>
        <w:gridCol w:w="109"/>
        <w:gridCol w:w="109"/>
        <w:gridCol w:w="837"/>
        <w:gridCol w:w="837"/>
        <w:gridCol w:w="839"/>
        <w:gridCol w:w="109"/>
        <w:gridCol w:w="109"/>
        <w:gridCol w:w="163"/>
      </w:tblGrid>
      <w:tr>
        <w:trPr/>
        <w:tc>
          <w:tcPr>
            <w:tcW w:w="4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Debt </w:t>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of Related Swap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 of Related Swap Agreements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 million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Hoboken mortgage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9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Unconsolidated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Assembly Row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30, 2028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Chandler Festival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9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4, 2030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Chandler Gateway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4, 2030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2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All swaps were designated and qualify as cash flow hedges. Hedge ineffectiveness has not impacted earnings in 2025, 2024 and 2023.</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Mortgage Notes Receivable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invested in certain mortgage loans that, because of their nature, qualify as loan receivables. At the time of investment,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are recorded at cost, net of any valuation adjustments. We account for mortgage notes receivable using the "expected credit loss" model, and accordingly impairment losses are estimated and recorded for the entire life of the loan. Interest income is accrued as earned. Mortgage notes receivable are considered past due based on the contractual terms of the note agreement. On a quarterly basis, we evaluate the collectability of each mortgage note receivable and update our expected credit loss model based on various factors which may include payment history, expected fair value of the collateral securing the loan, internal and external credit information and/or economic trends. A loan is considered impaired when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As our loans are collateralized by mortgages, these loans have risk characteristics similar to the risks in owning commercial 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we had three mortgage notes receivable with an aggregate carrying amount, net of valuation adjustments, of $9.1 million, and a weighted average interest rate of 11.0%. The borrower on two of these mortgage notes receivable is in default. However, we believe the fair value of the property supports the $9.1 million carrying value of our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Share Based Compensation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to the consolidated financial statements for further discussion regarding our share based compensation plans and policies.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Variable Interest Entities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equity method investments in the Assembly Row hotel joint venture, the La Alameda shopping center, the Chandler Festival and Chandler Gateway shopping centers, and our mortgage notes receivable are considered variable interests in a VIE. As we do not control the activities that most significantly impact the economic performance of our equity method joint ventures or the borrower entities related to our mortgage notes receivable, we are not the primary beneficiary and do not consolidate. As of December 31, 2025 and 2024, our investment in the equity method joint ventures and maximum exposure to loss was $27.9 million and $29.4 million, respectively. As of December 31, 2025 and 2024, our investment in mortgage notes receivable and maximum exposure to loss was $9.1 million.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we have 18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$1.4 billion as of December 31, 2025 and 2024, and mortgages related to VIEs included in our consolidated balance sheets were approximately $194.2 million and $186.6 million, as of December 31, 2025 and 2024, respectively.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Redeemable Noncontrolling Interests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redeemable noncontrolling interests:</w:t>
      </w:r>
    </w:p>
    <w:tbl>
      <w:tblPr>
        <w:tblW w:w="8798" w:type="dxa"/>
        <w:jc w:val="center"/>
        <w:tblInd w:w="0" w:type="dxa"/>
        <w:tblLayout w:type="fixed"/>
        <w:tblCellMar>
          <w:top w:w="28" w:type="dxa"/>
          <w:left w:w="28" w:type="dxa"/>
          <w:bottom w:w="28" w:type="dxa"/>
          <w:right w:w="28" w:type="dxa"/>
        </w:tblCellMar>
      </w:tblPr>
      <w:tblGrid>
        <w:gridCol w:w="2223"/>
        <w:gridCol w:w="1950"/>
        <w:gridCol w:w="1961"/>
        <w:gridCol w:w="211"/>
        <w:gridCol w:w="826"/>
        <w:gridCol w:w="109"/>
        <w:gridCol w:w="109"/>
        <w:gridCol w:w="109"/>
        <w:gridCol w:w="109"/>
        <w:gridCol w:w="211"/>
        <w:gridCol w:w="826"/>
        <w:gridCol w:w="154"/>
      </w:tblGrid>
      <w:tr>
        <w:trPr/>
        <w:tc>
          <w:tcPr>
            <w:tcW w:w="2223"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 change in value of interest rate swaps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&amp; redemptions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redemption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operating leases where we are the lessee, the related operating lease right of use ("ROU") assets and lease liabilities are shown separately on the face of our consolidated balance sheet and reflect the present value of the minimum lease payments. A key input in the calculation is the discount rate. As the rate implied in the lease agreements is not readily determinable,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utilize our incremental borrowing rate that corresponds to the remaining term of the lease, our credit spread, and an adjustment to reflect the collateralized payment terms present in the lease. 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non-cancellable lease term and is included in rental expenses in our consolidated statements of operations. We recognize variable lease payments as expense in the period in which they are incurred. We do not record a ROU asset or lease liability for leases with terms of less than 12 months.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With few exceptions, we are no longer subject to U.S. federal, state, and local tax examinations by tax authorities for years before 2020. As of December 31, 2025 and 2024, we had no material unrecognized tax benefits. While we currently have no material unrecognized tax benefits, as a policy, we recognize penalties and interest accrued related to unrecognized tax benefits as income tax expense.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primary business is the ownership, management, and redevelopment of retail and mixed-use properties. Our chief executive officer is our chief operating decision maker ("CODM"), who regularly reviews operating and financial information for commercial and, as applicable, residential components for each property on an individual basis. As a result, each commercial and, as applicable, residential component for each property represents an individual operating segment. We evaluate financial performance using property operating income ("POI"), a non-GAAP measure which consists of rental income and mortgage interest income, less rental expenses and real estate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property operating income to consolidated net income:</w:t>
      </w:r>
    </w:p>
    <w:tbl>
      <w:tblPr>
        <w:tblW w:w="8382" w:type="dxa"/>
        <w:jc w:val="left"/>
        <w:tblInd w:w="0" w:type="dxa"/>
        <w:tblLayout w:type="fixed"/>
        <w:tblCellMar>
          <w:top w:w="28" w:type="dxa"/>
          <w:left w:w="28" w:type="dxa"/>
          <w:bottom w:w="28" w:type="dxa"/>
          <w:right w:w="28" w:type="dxa"/>
        </w:tblCellMar>
      </w:tblPr>
      <w:tblGrid>
        <w:gridCol w:w="1536"/>
        <w:gridCol w:w="1352"/>
        <w:gridCol w:w="1357"/>
        <w:gridCol w:w="211"/>
        <w:gridCol w:w="826"/>
        <w:gridCol w:w="109"/>
        <w:gridCol w:w="109"/>
        <w:gridCol w:w="109"/>
        <w:gridCol w:w="109"/>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236,985 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 individual commercial or residential property constitutes more than 10% of our revenues or property operating income and we have no operations outside of the United States of America. We do not distinguish or group our operations on a geographical basis for purposes of allocation of resources or capital. Therefore, we have aggregated our properties into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as the properties share similar long-term economic characteristics and have other similarities including the fact that they are operated using consistent business strategies and are typically located in major metropolitan areas.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do not present significant expense disclosures for our reportable segment as operating segment level expenses are not regularly provided to our CODM. However, a breakout of the principal components of rental expense can be found in Note 11 to the consolidated financial statements and real estate tax expense is presented on the face of the consolidated statement of comprehensive income.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do not present a reconciliation of our reportable segment's assets to consolidated assets, as asset information by operating segment is not used by our CODM to allocate resources and capital or assess performance.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Forward Equity Sales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at-the-market (“ATM”) equity program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stock method to determine the dilution, if any, from the forward sales contracts during the period of time prior to settlement. See Note 8 to the consolidated financial statements for details of our forward sales transactions.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Exchangeable Senior Notes</w:t>
      </w:r>
    </w:p>
    <w:p>
      <w:pPr>
        <w:pStyle w:val="TextBody"/>
        <w:bidi w:val="0"/>
        <w:spacing w:lineRule="auto" w:line="288" w:before="100" w:after="283"/>
        <w:jc w:val="left"/>
        <w:rPr/>
      </w:pPr>
      <w:r>
        <w:rPr>
          <w:rFonts w:ascii="Times New Roman;serif" w:hAnsi="Times New Roman;serif"/>
          <w:b w:val="false"/>
          <w:color w:val="000000"/>
          <w:sz w:val="20"/>
        </w:rPr>
        <w:t xml:space="preserve">On January 11, 2024, our Operating Partnership issued $485.0 million aggregate principal amount of 3.25% Exchangeable Senior Notes due 2029 (the "Notes") in a private placement (see Note 5 for additional information). We account for our Notes in accordance with ASC 470-20, </w:t>
      </w:r>
      <w:r>
        <w:rPr>
          <w:rFonts w:ascii="Times New Roman;serif" w:hAnsi="Times New Roman;serif"/>
          <w:b w:val="false"/>
          <w:i/>
          <w:color w:val="000000"/>
          <w:sz w:val="20"/>
        </w:rPr>
        <w:t xml:space="preserve">Debt with Conversion and Other Options </w:t>
      </w:r>
      <w:r>
        <w:rPr>
          <w:rFonts w:ascii="Times New Roman;serif" w:hAnsi="Times New Roman;serif"/>
          <w:b w:val="false"/>
          <w:color w:val="000000"/>
          <w:sz w:val="20"/>
        </w:rPr>
        <w:t xml:space="preserve">(after the adoption of ASU 2020-06, </w:t>
      </w:r>
      <w:r>
        <w:rPr>
          <w:rFonts w:ascii="Times New Roman;serif" w:hAnsi="Times New Roman;serif"/>
          <w:b w:val="false"/>
          <w:i/>
          <w:color w:val="000000"/>
          <w:sz w:val="20"/>
        </w:rPr>
        <w:t xml:space="preserve">Debt - Debt and Other Options </w:t>
      </w:r>
      <w:r>
        <w:rPr>
          <w:rFonts w:ascii="Times New Roman;serif" w:hAnsi="Times New Roman;serif"/>
          <w:b w:val="false"/>
          <w:color w:val="000000"/>
          <w:sz w:val="20"/>
        </w:rPr>
        <w:t xml:space="preserve">(Subtopic 470-20) and </w:t>
      </w:r>
      <w:r>
        <w:rPr>
          <w:rFonts w:ascii="Times New Roman;serif" w:hAnsi="Times New Roman;serif"/>
          <w:b w:val="false"/>
          <w:i/>
          <w:color w:val="000000"/>
          <w:sz w:val="20"/>
        </w:rPr>
        <w:t xml:space="preserve">Derivatives and Hedging - Contracts in Entity's Own Equity </w:t>
      </w:r>
      <w:r>
        <w:rPr>
          <w:rFonts w:ascii="Times New Roman;serif" w:hAnsi="Times New Roman;serif"/>
          <w:b w:val="false"/>
          <w:color w:val="000000"/>
          <w:sz w:val="20"/>
        </w:rPr>
        <w:t xml:space="preserve">(Subtopic 815-40): </w:t>
      </w:r>
      <w:r>
        <w:rPr>
          <w:rFonts w:ascii="Times New Roman;serif" w:hAnsi="Times New Roman;serif"/>
          <w:b w:val="false"/>
          <w:i/>
          <w:color w:val="000000"/>
          <w:sz w:val="20"/>
        </w:rPr>
        <w:t xml:space="preserve">Accounting for Contracts in an Entity's Own Equity </w:t>
      </w:r>
      <w:r>
        <w:rPr>
          <w:rFonts w:ascii="Times New Roman;serif" w:hAnsi="Times New Roman;serif"/>
          <w:b w:val="false"/>
          <w:color w:val="000000"/>
          <w:sz w:val="20"/>
        </w:rPr>
        <w:t>(ASU 2020-06)). The embedded exchange feature is eligible for an exception from derivative accounting because it is indexed to our own stock and meets the equity classification under ASC 815-40; therefore, the exchange feature is not bifurcated. At each reporting period, we calculate the effect of the Notes on our dilutive earnings per common share and per common unit using the if-converted method. In connection with the Notes, we entered into privately negotiated capital call transactions with certain of the initial purchasers of the notes or their affiliates or other financial institutions. Similar to the exchange feature embedded in the Notes, the capped call transactions meet all the conditions for equity classification, and therefore, the related premiums paid are recorded in shareholders' equity for the Trust and capital for the Operating Partnership.</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tbl>
      <w:tblPr>
        <w:tblW w:w="10205" w:type="dxa"/>
        <w:jc w:val="left"/>
        <w:tblInd w:w="0" w:type="dxa"/>
        <w:tblLayout w:type="fixed"/>
        <w:tblCellMar>
          <w:top w:w="28" w:type="dxa"/>
          <w:left w:w="28" w:type="dxa"/>
          <w:bottom w:w="28" w:type="dxa"/>
          <w:right w:w="28" w:type="dxa"/>
        </w:tblCellMar>
      </w:tblPr>
      <w:tblGrid>
        <w:gridCol w:w="1109"/>
        <w:gridCol w:w="974"/>
        <w:gridCol w:w="985"/>
        <w:gridCol w:w="109"/>
        <w:gridCol w:w="109"/>
        <w:gridCol w:w="109"/>
        <w:gridCol w:w="1604"/>
        <w:gridCol w:w="1604"/>
        <w:gridCol w:w="1621"/>
        <w:gridCol w:w="109"/>
        <w:gridCol w:w="109"/>
        <w:gridCol w:w="109"/>
        <w:gridCol w:w="519"/>
        <w:gridCol w:w="467"/>
        <w:gridCol w:w="668"/>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3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on the financial statements or significant matters</w:t>
            </w:r>
          </w:p>
        </w:tc>
      </w:tr>
      <w:tr>
        <w:trPr/>
        <w:tc>
          <w:tcPr>
            <w:tcW w:w="3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Issued in 2025:</w:t>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2025-01, January 2025, and ASU 2024-03, November 2024, </w:t>
            </w:r>
            <w:r>
              <w:rPr>
                <w:rFonts w:ascii="Times New Roman;serif" w:hAnsi="Times New Roman;serif"/>
                <w:b w:val="false"/>
                <w:i/>
                <w:color w:val="000000"/>
                <w:sz w:val="19"/>
              </w:rPr>
              <w:t>Income Statement—Reporting Comprehensive Income — Expense Disaggregation Disclosures (Subtopic 220-40)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8"/>
              </w:rPr>
              <w:t>This ASU requires the disaggregation of specific natural expense categories within relevant income statement captions. Public business entities are required to provide tabular disclosures which disaggregate expenses such as purchases of inventory, employee compensation, depreciation and amortization. A separate total of an entity's selling expenses is also required, along with the disclosure of how the company determines them.</w:t>
              <w:br/>
            </w:r>
            <w:r>
              <w:rPr>
                <w:rFonts w:ascii="Times New Roman;serif" w:hAnsi="Times New Roman;serif"/>
                <w:b w:val="false"/>
                <w:sz w:val="18"/>
              </w:rPr>
              <w:br/>
            </w:r>
            <w:r>
              <w:rPr>
                <w:rFonts w:ascii="Times New Roman;serif" w:hAnsi="Times New Roman;serif"/>
                <w:b w:val="false"/>
                <w:color w:val="000000"/>
                <w:sz w:val="18"/>
              </w:rPr>
              <w:t>The guidance is required to be applied prospectively, but may be applied retrospectively for annual reporting periods beginning after December 15, 2026, and interim periods within annual reporting periods beginning after December 15 2027.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93"/>
        <w:gridCol w:w="571"/>
        <w:gridCol w:w="578"/>
        <w:gridCol w:w="109"/>
        <w:gridCol w:w="109"/>
        <w:gridCol w:w="109"/>
        <w:gridCol w:w="2089"/>
        <w:gridCol w:w="2089"/>
        <w:gridCol w:w="2102"/>
        <w:gridCol w:w="109"/>
        <w:gridCol w:w="109"/>
        <w:gridCol w:w="109"/>
        <w:gridCol w:w="427"/>
        <w:gridCol w:w="370"/>
        <w:gridCol w:w="532"/>
      </w:tblGrid>
      <w:tr>
        <w:trPr/>
        <w:tc>
          <w:tcPr>
            <w:tcW w:w="79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9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on the financial statements or significant matters</w:t>
            </w:r>
          </w:p>
        </w:tc>
      </w:tr>
      <w:tr>
        <w:trPr/>
        <w:tc>
          <w:tcPr>
            <w:tcW w:w="19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2025-09, November 2025, </w:t>
            </w:r>
            <w:r>
              <w:rPr>
                <w:rFonts w:ascii="Times New Roman;serif" w:hAnsi="Times New Roman;serif"/>
                <w:b w:val="false"/>
                <w:i/>
                <w:color w:val="000000"/>
                <w:sz w:val="19"/>
              </w:rPr>
              <w:t>Derivatives and Hedging</w:t>
            </w:r>
            <w:r>
              <w:rPr>
                <w:color w:val="000000"/>
              </w:rPr>
              <w:t xml:space="preserve"> </w:t>
            </w:r>
            <w:r>
              <w:rPr>
                <w:rFonts w:ascii="Times New Roman;serif" w:hAnsi="Times New Roman;serif"/>
                <w:b w:val="false"/>
                <w:i/>
                <w:color w:val="000000"/>
                <w:sz w:val="19"/>
              </w:rPr>
              <w:t>(Topic 815), Hedge Accounting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amends certain aspects of hedge accounting in ASC 815. The main amendments relate to cash flow hedging, but some of the amendments affect certain fair value and net investment hedges. The key changes include: (1) Allows individual forecasted transactions to be hedged in a group if they have similar risk exposure for cash flow hedges. (2) Establishes a model borrowers can use in cash flow hedges of forecasted interest payments on choose-your-rate debt instruments. (3) Expands hedge accounting for forecasted purchases and sales of nonfinancial assets. (4) Eliminates the requirement for the net written option test in certain instances to accommodate differences in the loan and swap markets that resulted from reference rate reform. (5) Eliminates the recognition and presentation mismatch for foreign currency-denominated debt used as both a net investment hedge instrument and a hedged item for interest rate risk.</w:t>
              <w:br/>
            </w:r>
            <w:r>
              <w:rPr>
                <w:rFonts w:ascii="Times New Roman;serif" w:hAnsi="Times New Roman;serif"/>
                <w:b w:val="false"/>
                <w:sz w:val="19"/>
              </w:rPr>
              <w:br/>
            </w:r>
            <w:r>
              <w:rPr>
                <w:rFonts w:ascii="Times New Roman;serif" w:hAnsi="Times New Roman;serif"/>
                <w:b w:val="false"/>
                <w:color w:val="000000"/>
                <w:sz w:val="19"/>
              </w:rPr>
              <w:t>The guidance is applied prospectively for all hedging relationships as of the date of adoption. The guidance applies to all public entities and is effective for fiscal years beginning after December 15, 2026, and interim periods within those fiscal years.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r>
        <w:trPr/>
        <w:tc>
          <w:tcPr>
            <w:tcW w:w="1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2025-10, December 2025, </w:t>
            </w:r>
            <w:r>
              <w:rPr>
                <w:rFonts w:ascii="Times New Roman;serif" w:hAnsi="Times New Roman;serif"/>
                <w:b w:val="false"/>
                <w:i/>
                <w:color w:val="000000"/>
                <w:sz w:val="19"/>
              </w:rPr>
              <w:t>Government Grants</w:t>
            </w:r>
            <w:r>
              <w:rPr>
                <w:color w:val="000000"/>
              </w:rPr>
              <w:t xml:space="preserve"> </w:t>
            </w:r>
            <w:r>
              <w:rPr>
                <w:rFonts w:ascii="Times New Roman;serif" w:hAnsi="Times New Roman;serif"/>
                <w:b w:val="false"/>
                <w:i/>
                <w:color w:val="000000"/>
                <w:sz w:val="19"/>
              </w:rPr>
              <w:t>(Topic 832), Accounting for Government Grants Received by Business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establishes guidance on the recognition, measurement, and presentation of government grants received by business entities. ASU 2025-10 introduces specific recognition thresholds (probability of compliance and receipt) and detailed disclosures, aiming to improve consistency and comparability in financial reporting for grants.</w:t>
              <w:br/>
            </w:r>
            <w:r>
              <w:rPr>
                <w:rFonts w:ascii="Times New Roman;serif" w:hAnsi="Times New Roman;serif"/>
                <w:b w:val="false"/>
                <w:sz w:val="19"/>
              </w:rPr>
              <w:br/>
            </w:r>
            <w:r>
              <w:rPr>
                <w:rFonts w:ascii="Times New Roman;serif" w:hAnsi="Times New Roman;serif"/>
                <w:b w:val="false"/>
                <w:color w:val="000000"/>
                <w:sz w:val="19"/>
              </w:rPr>
              <w:t xml:space="preserve">The new guidance is effective for public business entities in annual periods beginning after December 15, 2028 (including interim periods within) and one year later for all other entities, with early adoption permitted in any period for which financial statements have not yet been issued. The guidance can be applied on a modified prospective basis, a modified retrospective basis, or a full retrospective basis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r>
        <w:trPr/>
        <w:tc>
          <w:tcPr>
            <w:tcW w:w="1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2025-11, December 2025, </w:t>
            </w:r>
            <w:r>
              <w:rPr>
                <w:rFonts w:ascii="Times New Roman;serif" w:hAnsi="Times New Roman;serif"/>
                <w:b w:val="false"/>
                <w:i/>
                <w:color w:val="000000"/>
                <w:sz w:val="19"/>
              </w:rPr>
              <w:t>Interim Reporting</w:t>
            </w:r>
            <w:r>
              <w:rPr>
                <w:color w:val="000000"/>
              </w:rPr>
              <w:t xml:space="preserve"> </w:t>
            </w:r>
            <w:r>
              <w:rPr>
                <w:rFonts w:ascii="Times New Roman;serif" w:hAnsi="Times New Roman;serif"/>
                <w:b w:val="false"/>
                <w:i/>
                <w:color w:val="000000"/>
                <w:sz w:val="19"/>
              </w:rPr>
              <w:t>(Topic 270), Narrow-Scope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clarifies that an entity is subject to ASC 270 if it provides interim financial statements and notes in accordance with GAAP. This ASU also addresses the form and content of such financial statements, adds a comprehensive list of mandatory interim disclosures pulled from other ASC topics, and establishes a principle under which an entity must disclose events since the end of the last annual reporting period that have a material impact on the entity.</w:t>
              <w:br/>
            </w:r>
            <w:r>
              <w:rPr>
                <w:rFonts w:ascii="Times New Roman;serif" w:hAnsi="Times New Roman;serif"/>
                <w:b w:val="false"/>
                <w:sz w:val="19"/>
              </w:rPr>
              <w:br/>
            </w:r>
            <w:r>
              <w:rPr>
                <w:rFonts w:ascii="Times New Roman;serif" w:hAnsi="Times New Roman;serif"/>
                <w:b w:val="false"/>
                <w:color w:val="000000"/>
                <w:sz w:val="19"/>
              </w:rPr>
              <w:t>The guidance can be applied either prospectively or retrospectively. The guidance applies to all public entities and is effective for interim reporting periods with annual reporting periods after December 15, 2027.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4"/>
        <w:gridCol w:w="682"/>
        <w:gridCol w:w="690"/>
        <w:gridCol w:w="109"/>
        <w:gridCol w:w="109"/>
        <w:gridCol w:w="109"/>
        <w:gridCol w:w="1946"/>
        <w:gridCol w:w="1946"/>
        <w:gridCol w:w="1962"/>
        <w:gridCol w:w="109"/>
        <w:gridCol w:w="109"/>
        <w:gridCol w:w="109"/>
        <w:gridCol w:w="473"/>
        <w:gridCol w:w="418"/>
        <w:gridCol w:w="600"/>
      </w:tblGrid>
      <w:tr>
        <w:trPr/>
        <w:tc>
          <w:tcPr>
            <w:tcW w:w="8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on the financial statements or significant matters</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2025-12, December 2025, </w:t>
            </w:r>
            <w:r>
              <w:rPr>
                <w:rFonts w:ascii="Times New Roman;serif" w:hAnsi="Times New Roman;serif"/>
                <w:b w:val="false"/>
                <w:i/>
                <w:color w:val="000000"/>
                <w:sz w:val="19"/>
              </w:rPr>
              <w:t>Codification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clarifies, corrects errors in and makes improvements to several topics within the FASB Codification. The amendments are part of an ongoing FASB project to make non-substantive technical corrections, clarifications, and improvements to make standards more consistent and easier to interpret for preparers and users.</w:t>
              <w:br/>
            </w:r>
            <w:r>
              <w:rPr>
                <w:rFonts w:ascii="Times New Roman;serif" w:hAnsi="Times New Roman;serif"/>
                <w:b w:val="false"/>
                <w:sz w:val="19"/>
              </w:rPr>
              <w:br/>
            </w:r>
            <w:r>
              <w:rPr>
                <w:rFonts w:ascii="Times New Roman;serif" w:hAnsi="Times New Roman;serif"/>
                <w:b w:val="false"/>
                <w:color w:val="000000"/>
                <w:sz w:val="19"/>
              </w:rPr>
              <w:t xml:space="preserve">The guidance applies to all public entities and is effective for fiscal years beginning after December 15, 2026, and interim periods within those fiscal years. Early adoption is permitted.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do not expect this ASU to have a material impact on our consolidated financial statements.</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Issued in 2024:</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2024-04, November 2024, </w:t>
            </w:r>
            <w:r>
              <w:rPr>
                <w:rFonts w:ascii="Times New Roman;serif" w:hAnsi="Times New Roman;serif"/>
                <w:b w:val="false"/>
                <w:i/>
                <w:color w:val="000000"/>
                <w:sz w:val="19"/>
              </w:rPr>
              <w:t>Debt—Debt with Conversion and Other Options (Subtopic 470-20), Induced Conversions of Convertible Debt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8"/>
              </w:rPr>
              <w:t>This ASU clarifies that to qualify for induced conversion accounting, an inducement offer must preserve the issuance of all of the consideration (in form and amount) issuable in accordance with the conversion privileges specified in the terms of the existing debt instrument. In addition, the ASU requires that to qualify for induced conversion accounting, an instrument must contain a substantive conversion feature as of the date on which both the issuance offer and the inducement offer are accepted by the convertible debt holder. An entity that doesn't meet all of the criteria for conversion accounting or induced conversion accounting applies extinguishment accounting and recognizes a gain or loss for the difference between the fair value of the entire consideration transferred and the net carrying amount of the debt.</w:t>
              <w:br/>
            </w:r>
            <w:r>
              <w:rPr>
                <w:rFonts w:ascii="Times New Roman;serif" w:hAnsi="Times New Roman;serif"/>
                <w:b w:val="false"/>
                <w:sz w:val="18"/>
              </w:rPr>
              <w:br/>
            </w:r>
            <w:r>
              <w:rPr>
                <w:rFonts w:ascii="Times New Roman;serif" w:hAnsi="Times New Roman;serif"/>
                <w:b w:val="false"/>
                <w:color w:val="000000"/>
                <w:sz w:val="18"/>
              </w:rPr>
              <w:t>Entities have the option to apply the guidance either (1) prospectively to settlements of convertible debt instruments that occur during fiscal years (and interim periods within those fiscal years) beginning after the effective date or (2) retrospectively. Under the retrospective transition approach, the entity recasts prior periods and recognizes a cumulative-effect adjustment to equity as of the later of the beginning of the earliest period presented or the date the entity adopted ASU 2020-06. This is effective for all entities for fiscal years beginning after December 15, 2025, and interim periods within those 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do not expect this ASU to have a material impact on our consolidated financial statements.</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Issued in 2023:</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2023-06, October 2023, </w:t>
            </w:r>
            <w:r>
              <w:rPr>
                <w:rFonts w:ascii="Times New Roman;serif" w:hAnsi="Times New Roman;serif"/>
                <w:b w:val="false"/>
                <w:i/>
                <w:color w:val="000000"/>
                <w:sz w:val="19"/>
              </w:rPr>
              <w:t>Disclosure Improvements: Codification Amendments in Response to the SEC's Disclosure Update and Simplification Initiative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amends the disclosure or presentation requirements related to various subtopics in the FASB Accounting Standard Codification (the "Codification"). The new guidance is intended to align U.S. GAAP requirements with those of the SEC and to facilitate the application of U.S. GAAP for all entities. These disclosure requirements are currently included in either SEC Regulation S-X or SEC Regulation S-K.</w:t>
              <w:br/>
            </w:r>
            <w:r>
              <w:rPr>
                <w:rFonts w:ascii="Times New Roman;serif" w:hAnsi="Times New Roman;serif"/>
                <w:b w:val="false"/>
                <w:sz w:val="19"/>
              </w:rPr>
              <w:br/>
            </w:r>
            <w:r>
              <w:rPr>
                <w:rFonts w:ascii="Times New Roman;serif" w:hAnsi="Times New Roman;serif"/>
                <w:b w:val="false"/>
                <w:color w:val="000000"/>
                <w:sz w:val="19"/>
              </w:rPr>
              <w:t>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Codification and will not be 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do not expect this ASU to have a material impact on our consolidated financial statements.</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380" w:after="283"/>
        <w:jc w:val="left"/>
        <w:rPr>
          <w:rFonts w:ascii="Times New Roman;serif" w:hAnsi="Times New Roman;serif"/>
          <w:b/>
          <w:color w:val="000000"/>
          <w:sz w:val="20"/>
        </w:rPr>
      </w:pPr>
      <w:r>
        <w:rPr>
          <w:rFonts w:ascii="Times New Roman;serif" w:hAnsi="Times New Roman;serif"/>
          <w:b/>
          <w:color w:val="000000"/>
          <w:sz w:val="20"/>
        </w:rPr>
        <w:t>Consolidated Statements of Cash Flows—Supplemental Disclosures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disclosures related to the Consolidated Statements of Cash Flows:</w:t>
      </w:r>
    </w:p>
    <w:tbl>
      <w:tblPr>
        <w:tblW w:w="9792" w:type="dxa"/>
        <w:jc w:val="left"/>
        <w:tblInd w:w="0" w:type="dxa"/>
        <w:tblLayout w:type="fixed"/>
        <w:tblCellMar>
          <w:top w:w="28" w:type="dxa"/>
          <w:left w:w="28" w:type="dxa"/>
          <w:bottom w:w="28" w:type="dxa"/>
          <w:right w:w="28" w:type="dxa"/>
        </w:tblCellMar>
      </w:tblPr>
      <w:tblGrid>
        <w:gridCol w:w="2048"/>
        <w:gridCol w:w="1801"/>
        <w:gridCol w:w="1806"/>
        <w:gridCol w:w="211"/>
        <w:gridCol w:w="826"/>
        <w:gridCol w:w="109"/>
        <w:gridCol w:w="109"/>
        <w:gridCol w:w="109"/>
        <w:gridCol w:w="109"/>
        <w:gridCol w:w="211"/>
        <w:gridCol w:w="826"/>
        <w:gridCol w:w="109"/>
        <w:gridCol w:w="109"/>
        <w:gridCol w:w="109"/>
        <w:gridCol w:w="109"/>
        <w:gridCol w:w="211"/>
        <w:gridCol w:w="826"/>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costs incurred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TRANSACTIONS: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refinanced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dividend reinvestment plan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9767" w:type="dxa"/>
        <w:jc w:val="left"/>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11"/>
        <w:gridCol w:w="826"/>
        <w:gridCol w:w="109"/>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(1)Restricted cash balances are included in "prepaid expenses and other assets" on our consolidated balance sheets, and is primarily related to escrow accounts.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3—REAL ESTATE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2025 Property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acquired the following properties:</w:t>
      </w:r>
    </w:p>
    <w:tbl>
      <w:tblPr>
        <w:tblW w:w="10205" w:type="dxa"/>
        <w:jc w:val="left"/>
        <w:tblInd w:w="0" w:type="dxa"/>
        <w:tblLayout w:type="fixed"/>
        <w:tblCellMar>
          <w:top w:w="28" w:type="dxa"/>
          <w:left w:w="28" w:type="dxa"/>
          <w:bottom w:w="28" w:type="dxa"/>
          <w:right w:w="28" w:type="dxa"/>
        </w:tblCellMar>
      </w:tblPr>
      <w:tblGrid>
        <w:gridCol w:w="525"/>
        <w:gridCol w:w="440"/>
        <w:gridCol w:w="441"/>
        <w:gridCol w:w="109"/>
        <w:gridCol w:w="109"/>
        <w:gridCol w:w="109"/>
        <w:gridCol w:w="888"/>
        <w:gridCol w:w="869"/>
        <w:gridCol w:w="881"/>
        <w:gridCol w:w="109"/>
        <w:gridCol w:w="109"/>
        <w:gridCol w:w="109"/>
        <w:gridCol w:w="504"/>
        <w:gridCol w:w="485"/>
        <w:gridCol w:w="491"/>
        <w:gridCol w:w="109"/>
        <w:gridCol w:w="109"/>
        <w:gridCol w:w="109"/>
        <w:gridCol w:w="599"/>
        <w:gridCol w:w="599"/>
        <w:gridCol w:w="601"/>
        <w:gridCol w:w="109"/>
        <w:gridCol w:w="109"/>
        <w:gridCol w:w="109"/>
        <w:gridCol w:w="269"/>
        <w:gridCol w:w="786"/>
        <w:gridCol w:w="138"/>
        <w:gridCol w:w="109"/>
        <w:gridCol w:w="109"/>
        <w:gridCol w:w="163"/>
      </w:tblGrid>
      <w:tr>
        <w:trPr/>
        <w:tc>
          <w:tcPr>
            <w:tcW w:w="52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Leasable Area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 Price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 Monte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Monterey,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Town Center Crossing and Town Center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Leawood, 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Annapolis Town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Annapolis,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Village Pointe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Omaha, Nebraska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(1)Approximately $17.7 million and $0.8 million of net assets were allocated to other assets for "acquired lease costs" and "above market leases," respectively, and $23.5 million of net assets acquired were allocated to other liabilities for "below market leases."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(2)Approximately $31.0 million and $6.5 million of net assets were allocated to other assets for "acquired lease costs" and "above market leases," respectively, and $11.4 million of net assets acquired were allocated to other liabilities for "below market leases."</w:t>
      </w:r>
    </w:p>
    <w:p>
      <w:pPr>
        <w:pStyle w:val="TextBody"/>
        <w:bidi w:val="0"/>
        <w:spacing w:lineRule="auto" w:line="288" w:before="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(3)Approximately $18.0 million and $2.9 million of net assets acquired were allocated to other assets for "acquired lease costs" and "above market leases," respectively, and $9.0 million of net assets acquired were allocated to other liabilities for "below market leases."</w:t>
      </w:r>
    </w:p>
    <w:p>
      <w:pPr>
        <w:pStyle w:val="TextBody"/>
        <w:bidi w:val="0"/>
        <w:spacing w:lineRule="auto" w:line="288" w:before="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(4)Approximately $18.1 million and $1.0 million of net assets acquired were allocated to other assets for "acquired lease costs" and "above market leases," respectively, and $10.5 million of net assets acquired were allocated to other liabilities for "below market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2025 Property Dispositions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the following properties:</w:t>
      </w:r>
    </w:p>
    <w:tbl>
      <w:tblPr>
        <w:tblW w:w="6545" w:type="dxa"/>
        <w:jc w:val="left"/>
        <w:tblInd w:w="0" w:type="dxa"/>
        <w:tblLayout w:type="fixed"/>
        <w:tblCellMar>
          <w:top w:w="28" w:type="dxa"/>
          <w:left w:w="28" w:type="dxa"/>
          <w:bottom w:w="28" w:type="dxa"/>
          <w:right w:w="28" w:type="dxa"/>
        </w:tblCellMar>
      </w:tblPr>
      <w:tblGrid>
        <w:gridCol w:w="1194"/>
        <w:gridCol w:w="1048"/>
        <w:gridCol w:w="1058"/>
        <w:gridCol w:w="109"/>
        <w:gridCol w:w="109"/>
        <w:gridCol w:w="109"/>
        <w:gridCol w:w="250"/>
        <w:gridCol w:w="731"/>
        <w:gridCol w:w="128"/>
        <w:gridCol w:w="109"/>
        <w:gridCol w:w="109"/>
        <w:gridCol w:w="109"/>
        <w:gridCol w:w="250"/>
        <w:gridCol w:w="731"/>
        <w:gridCol w:w="129"/>
        <w:gridCol w:w="109"/>
        <w:gridCol w:w="109"/>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Pike &amp; Rose (one residential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Santana Row (one residential 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Hollywood Boulevard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Bristol Plaza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Marsh Other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2024 Property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31, 2024, we acquired the fee interest in Virginia Gateway, which comprises five adjacent shopping centers in Gainesville, Virginia, totaling 664,000 square feet, for $215.0 million. Approximately $21.1 million and $0.4 million of net assets acquired were allocated to other assets for "acquired lease costs" and "above market leases," respectively, and $13.3 million of net assets acquired were allocated to other liabilities for "below market leases."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2024, we acquired the fee interest in Pinole Vista Crossing, a 216,000 square foot retail shopping center in Pinole, California for $60.0 million. Approximately $5.7 million of net assets acquired were allocated to other assets for "acquired lease costs," and $4.0 million of net assets acquired were allocated to other liabilities for "below market leases."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2024 Property Disposition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sold our Third Street Promenade property and a portion of our White Marsh Other property for sales prices totaling $106.8 million, resulting in a gain on sale of $53.8 million.</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4—ACQUIRED 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Acquired lease assets comprise of above market leases where we are the lessor and below market leases where we are the lessee. Acquired lease liabilities comprise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tbl>
      <w:tblPr>
        <w:tblW w:w="9961" w:type="dxa"/>
        <w:jc w:val="center"/>
        <w:tblInd w:w="0" w:type="dxa"/>
        <w:tblLayout w:type="fixed"/>
        <w:tblCellMar>
          <w:top w:w="28" w:type="dxa"/>
          <w:left w:w="28" w:type="dxa"/>
          <w:bottom w:w="28" w:type="dxa"/>
          <w:right w:w="28" w:type="dxa"/>
        </w:tblCellMar>
      </w:tblPr>
      <w:tblGrid>
        <w:gridCol w:w="853"/>
        <w:gridCol w:w="749"/>
        <w:gridCol w:w="753"/>
        <w:gridCol w:w="211"/>
        <w:gridCol w:w="901"/>
        <w:gridCol w:w="109"/>
        <w:gridCol w:w="109"/>
        <w:gridCol w:w="109"/>
        <w:gridCol w:w="109"/>
        <w:gridCol w:w="381"/>
        <w:gridCol w:w="1492"/>
        <w:gridCol w:w="196"/>
        <w:gridCol w:w="109"/>
        <w:gridCol w:w="109"/>
        <w:gridCol w:w="109"/>
        <w:gridCol w:w="211"/>
        <w:gridCol w:w="901"/>
        <w:gridCol w:w="109"/>
        <w:gridCol w:w="109"/>
        <w:gridCol w:w="109"/>
        <w:gridCol w:w="109"/>
        <w:gridCol w:w="374"/>
        <w:gridCol w:w="1467"/>
        <w:gridCol w:w="273"/>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market leases, lessor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(34,046)</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leases, lessee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(40,191)</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leases, lessor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market leases, lessee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116,052 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value allocated to acquired leases where we are the lessor is amortized over the related lease term and reflected as additional rental income for below market leases or a reduction of rental income for above market leases in the consolidated statements of comprehensive income. The related amortization of acquired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7467" w:type="dxa"/>
        <w:jc w:val="left"/>
        <w:tblInd w:w="0" w:type="dxa"/>
        <w:tblLayout w:type="fixed"/>
        <w:tblCellMar>
          <w:top w:w="28" w:type="dxa"/>
          <w:left w:w="28" w:type="dxa"/>
          <w:bottom w:w="28" w:type="dxa"/>
          <w:right w:w="28" w:type="dxa"/>
        </w:tblCellMar>
      </w:tblPr>
      <w:tblGrid>
        <w:gridCol w:w="1321"/>
        <w:gridCol w:w="1159"/>
        <w:gridCol w:w="1165"/>
        <w:gridCol w:w="211"/>
        <w:gridCol w:w="721"/>
        <w:gridCol w:w="109"/>
        <w:gridCol w:w="109"/>
        <w:gridCol w:w="109"/>
        <w:gridCol w:w="109"/>
        <w:gridCol w:w="211"/>
        <w:gridCol w:w="721"/>
        <w:gridCol w:w="109"/>
        <w:gridCol w:w="109"/>
        <w:gridCol w:w="109"/>
        <w:gridCol w:w="109"/>
        <w:gridCol w:w="211"/>
        <w:gridCol w:w="721"/>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above market leases, lessor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below market leases, lessor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increase in rental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below market leases, lessee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above market leases, lessee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increase in rental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remaining weighted average amortization period for our acquired lease assets and acquired lease liabilities:</w:t>
      </w:r>
    </w:p>
    <w:tbl>
      <w:tblPr>
        <w:tblW w:w="4226" w:type="dxa"/>
        <w:jc w:val="left"/>
        <w:tblInd w:w="0" w:type="dxa"/>
        <w:tblLayout w:type="fixed"/>
        <w:tblCellMar>
          <w:top w:w="28" w:type="dxa"/>
          <w:left w:w="28" w:type="dxa"/>
          <w:bottom w:w="28" w:type="dxa"/>
          <w:right w:w="28" w:type="dxa"/>
        </w:tblCellMar>
      </w:tblPr>
      <w:tblGrid>
        <w:gridCol w:w="853"/>
        <w:gridCol w:w="749"/>
        <w:gridCol w:w="753"/>
        <w:gridCol w:w="109"/>
        <w:gridCol w:w="109"/>
        <w:gridCol w:w="109"/>
        <w:gridCol w:w="452"/>
        <w:gridCol w:w="452"/>
        <w:gridCol w:w="640"/>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market leases, lessor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leases, lessee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years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leases, lessor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market leases, lessee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years</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amortization for acquired leases during the next five years and thereafter, assuming no early lease terminations, is as follows:</w:t>
      </w:r>
    </w:p>
    <w:tbl>
      <w:tblPr>
        <w:tblW w:w="6623" w:type="dxa"/>
        <w:jc w:val="left"/>
        <w:tblInd w:w="0" w:type="dxa"/>
        <w:tblLayout w:type="fixed"/>
        <w:tblCellMar>
          <w:top w:w="28" w:type="dxa"/>
          <w:left w:w="28" w:type="dxa"/>
          <w:bottom w:w="28" w:type="dxa"/>
          <w:right w:w="28" w:type="dxa"/>
        </w:tblCellMar>
      </w:tblPr>
      <w:tblGrid>
        <w:gridCol w:w="820"/>
        <w:gridCol w:w="720"/>
        <w:gridCol w:w="725"/>
        <w:gridCol w:w="109"/>
        <w:gridCol w:w="109"/>
        <w:gridCol w:w="109"/>
        <w:gridCol w:w="343"/>
        <w:gridCol w:w="1174"/>
        <w:gridCol w:w="177"/>
        <w:gridCol w:w="109"/>
        <w:gridCol w:w="109"/>
        <w:gridCol w:w="109"/>
        <w:gridCol w:w="356"/>
        <w:gridCol w:w="1394"/>
        <w:gridCol w:w="260"/>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Acquired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Acquired Lease Liabilities</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208,897 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total debt outstanding as of December 31, 2025 and 2024:</w:t>
      </w:r>
    </w:p>
    <w:tbl>
      <w:tblPr>
        <w:tblW w:w="10205" w:type="dxa"/>
        <w:jc w:val="left"/>
        <w:tblInd w:w="0" w:type="dxa"/>
        <w:tblLayout w:type="fixed"/>
        <w:tblCellMar>
          <w:top w:w="28" w:type="dxa"/>
          <w:left w:w="28" w:type="dxa"/>
          <w:bottom w:w="28" w:type="dxa"/>
          <w:right w:w="28" w:type="dxa"/>
        </w:tblCellMar>
      </w:tblPr>
      <w:tblGrid>
        <w:gridCol w:w="1022"/>
        <w:gridCol w:w="886"/>
        <w:gridCol w:w="892"/>
        <w:gridCol w:w="109"/>
        <w:gridCol w:w="109"/>
        <w:gridCol w:w="109"/>
        <w:gridCol w:w="109"/>
        <w:gridCol w:w="109"/>
        <w:gridCol w:w="109"/>
        <w:gridCol w:w="202"/>
        <w:gridCol w:w="898"/>
        <w:gridCol w:w="112"/>
        <w:gridCol w:w="112"/>
        <w:gridCol w:w="112"/>
        <w:gridCol w:w="112"/>
        <w:gridCol w:w="202"/>
        <w:gridCol w:w="898"/>
        <w:gridCol w:w="112"/>
        <w:gridCol w:w="109"/>
        <w:gridCol w:w="109"/>
        <w:gridCol w:w="109"/>
        <w:gridCol w:w="433"/>
        <w:gridCol w:w="352"/>
        <w:gridCol w:w="829"/>
        <w:gridCol w:w="109"/>
        <w:gridCol w:w="109"/>
        <w:gridCol w:w="109"/>
        <w:gridCol w:w="521"/>
        <w:gridCol w:w="492"/>
        <w:gridCol w:w="710"/>
      </w:tblGrid>
      <w:tr>
        <w:trPr/>
        <w:tc>
          <w:tcPr>
            <w:tcW w:w="10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 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Maturity Date as of</w:t>
            </w:r>
          </w:p>
        </w:tc>
      </w:tr>
      <w:tr>
        <w:trPr/>
        <w:tc>
          <w:tcPr>
            <w:tcW w:w="2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 Gardens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2026</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SOFR + 0.95%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28, 2026</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Plaza El Segundo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5, 2027</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Grove at Shrewsbury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1, 2027</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Azalea (2)(3)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30, 2028</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Brook 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1, 2029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Hoboken (24 Buildings)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SOFR + 1.95%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15, 2029</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Hoboken (12 Buildings)(5)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 through 2029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15, 2031</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514,378 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5, 2027</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$750 million term loan (2)(6)(7)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20, 2028</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 million term loan (2)(6)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31, 2031</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 through 2059</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1,061,190 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1,057,331 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notes and debentures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15, 2026</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7.48% 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15, 2027</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6.82% medium term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2027</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5.375%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 2028</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exchangeable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15, 2029</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15, 2029</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 2030</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 2044</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2046</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3,379,200 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3,379,200 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notes and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3,364,010 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3,357,840 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4,943,100 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4,473,632 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(1)We have one one-year extension, at our option to extend the maturity date of this mortgage loan to December 28, 2027.</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(2)Our Azalea mortgage loan, revolving credit facility SOFR loans, and our term loans bear interest at Daily Simple SOFR, as defined in the respective credit agreements, plus a spread, based on our current credit rating.</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(3)The Operating Partnership is a co-borrower on this mortgage loan. Additionally, we have two one-year extensions, at our option to extend the maturity date of this mortgage loan to October 30, 2030.</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interest rate on this mortgage loan is fixed at 3.67% through two interest rate swap agreements.</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interest rates on these mortgages range from 3.91% to 5.00%.</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(6)The Operating Partnership is the obligor under our revolving credit facility, term loans, and senior notes and debentures. A wholly owned subsidiary of the Operating Partnership is also an obligor of the $750.0 million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(7)The interest rate on $450.0 million of our term loan is fixed at a weighted average interest rate of 4.17% through March 1, 2028 through interest rate swap agreements.</w:t>
      </w:r>
    </w:p>
    <w:p>
      <w:pPr>
        <w:pStyle w:val="TextBody"/>
        <w:bidi w:val="0"/>
        <w:spacing w:lineRule="auto" w:line="288" w:before="260" w:after="283"/>
        <w:jc w:val="left"/>
        <w:rPr>
          <w:rFonts w:ascii="Times New Roman;serif" w:hAnsi="Times New Roman;serif"/>
          <w:b w:val="false"/>
          <w:color w:val="000000"/>
          <w:sz w:val="20"/>
        </w:rPr>
      </w:pPr>
      <w:r>
        <w:rPr>
          <w:rFonts w:ascii="Times New Roman;serif" w:hAnsi="Times New Roman;serif"/>
          <w:b w:val="false"/>
          <w:color w:val="000000"/>
          <w:sz w:val="20"/>
        </w:rPr>
        <w:t>On January 9, 2025 and October 1, 2025 we repaid two mortgage loans at our Hoboken property totaling $4.3 million,at par.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March 20, 2025, we amended and restated our $600.0 million unsecured term loan, extending the maturity date to March 20, 2028, plus two one-year extensions, at our option. We also had the right to borrow up to an additional $150.0 million, which we exercised on September 22, 2025, bringing our total amount outstanding under this agreement to $750.0 million as of December 31, 2025. Debt issuance costs related to our term loan were $4.9 million. Under an accordion feature, we have the right to request additional loans, subject to an aggregate maximum of $1.0 billion borrowed under the restated agreement. Additionally, on May 1, 2025, the interest rate was reduced by removing the 0.10% adjustment to SOFR.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October 30, 2025, we refinanced the $40.0 million mortgage loan at Azalea, with a new $55.0 million mortgage loan that bears interest at SOFR + 85 basis points, based on our credit rating, and matures on October 30, 2028, plus two one-year extensions, at our option. Debt issuance costs related to this mortgage loan were $0.6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17, 2025, we entered into an additional unsecured term loan agreement, which gives us the capacity to borrow up to $250.0 million at an interest rate of SOFR + 85 basis points, based on our current credit rating. The loan matures on January 31, 2031, and as of December 31, 2025, we do not have any outstanding borrowings under this agreement. Debt issuance costs related to this term loan were $1.5 million. Under an accordion feature, we have the right to request additional loans, subject to an aggregate maximum of $500.0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December 17, 2025, we exercised our first option to extend our $200.0 million mortgage loan at Bethesda Row by one year to December 28, 2026. We have one one-year extension, at our option remaining to extend the loan to December 28, 2027.</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2025, 2024 and 2023, the maximum amount of borrowings outstanding under our revolving credit facility was $461.6 million, $202.7 million and $115.5 million, respectively. The weighted average amount of borrowings outstanding was $153.2 million, $33.5 million and $44.7 million, respectively, and the weighted average interest rate, before amortization of debt fees, was 5.0%, 6.1% and 5.9%, respectively. The revolving credit facility requires an annual facility fee which is $1.9 million under the amended credit agreement. At December 31, 2025, our revolving credit facility had $310.0 million outstanding, and had no balance outstanding at December 31, 2024. On October 30, 2025, the interest rate on our revolving credit facility was reduced by removing the 0.10% adjustment to SOFR.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term loans, and certain notes require us to comply with various financial covenants, including the maintenance of minimum shareholders’ equity and debt coverage ratios and a maximum ratio of debt to net worth. As of December 31, 2025, we were in compliance with all default related debt covenants.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Exchangeable Senior Notes</w:t>
      </w:r>
    </w:p>
    <w:p>
      <w:pPr>
        <w:pStyle w:val="TextBody"/>
        <w:bidi w:val="0"/>
        <w:spacing w:lineRule="auto" w:line="288" w:before="100" w:after="283"/>
        <w:jc w:val="left"/>
        <w:rPr/>
      </w:pPr>
      <w:r>
        <w:rPr>
          <w:rFonts w:ascii="Times New Roman;serif" w:hAnsi="Times New Roman;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July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each year, beginning July 15, 2024. The notes mature on January 15, 2029, unless earlier exchanged, purchased, or redeemed. Net proceeds after the initial purchaser's discount and offering costs were approximately $471.5 million. Interest expense related to these Notes was $18.5 million and $17.9 million, respectively for the years ended December 31, 2025 and 2024, and includes debt issuance cost amortization of $2.7 million and $2.6 million, respectively. Including the debt issuance cost amortization, the current effective interest rate on these notes is approximately 3.9%. The unamortized debt issuance costs related to the Notes were $8.2 million and $10.9 million, respectively, at December 31, 2025 and 2024.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close of business on July 15, 2028, the Notes will be exchangeable at the option of the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of $1.09 per share, but will not be adjusted for any accrued and unpaid interest. While our quarterly common dividend per share currently exceeds $1.09, the exchange rate has not materially changed.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was recorded in shareholders' equity for the Trust and capital for the Operating Partnership.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Scheduled principal payments on mortgages payable, notes payable, senior notes and debentures as of December 31, 2025 are as follows:</w:t>
      </w:r>
    </w:p>
    <w:tbl>
      <w:tblPr>
        <w:tblW w:w="9682" w:type="dxa"/>
        <w:jc w:val="left"/>
        <w:tblInd w:w="0" w:type="dxa"/>
        <w:tblLayout w:type="fixed"/>
        <w:tblCellMar>
          <w:top w:w="28" w:type="dxa"/>
          <w:left w:w="28" w:type="dxa"/>
          <w:bottom w:w="28" w:type="dxa"/>
          <w:right w:w="28" w:type="dxa"/>
        </w:tblCellMar>
      </w:tblPr>
      <w:tblGrid>
        <w:gridCol w:w="820"/>
        <w:gridCol w:w="720"/>
        <w:gridCol w:w="725"/>
        <w:gridCol w:w="211"/>
        <w:gridCol w:w="826"/>
        <w:gridCol w:w="109"/>
        <w:gridCol w:w="110"/>
        <w:gridCol w:w="110"/>
        <w:gridCol w:w="110"/>
        <w:gridCol w:w="109"/>
        <w:gridCol w:w="109"/>
        <w:gridCol w:w="109"/>
        <w:gridCol w:w="211"/>
        <w:gridCol w:w="976"/>
        <w:gridCol w:w="109"/>
        <w:gridCol w:w="110"/>
        <w:gridCol w:w="110"/>
        <w:gridCol w:w="110"/>
        <w:gridCol w:w="109"/>
        <w:gridCol w:w="109"/>
        <w:gridCol w:w="109"/>
        <w:gridCol w:w="217"/>
        <w:gridCol w:w="1006"/>
        <w:gridCol w:w="113"/>
        <w:gridCol w:w="109"/>
        <w:gridCol w:w="109"/>
        <w:gridCol w:w="109"/>
        <w:gridCol w:w="211"/>
        <w:gridCol w:w="976"/>
        <w:gridCol w:w="109"/>
        <w:gridCol w:w="109"/>
        <w:gridCol w:w="109"/>
        <w:gridCol w:w="109"/>
        <w:gridCol w:w="110"/>
        <w:gridCol w:w="110"/>
        <w:gridCol w:w="155"/>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Mortgages</w:t>
              <w:br/>
              <w:t>Payable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br/>
              <w:t>Payable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Notes and</w:t>
              <w:br/>
              <w:t>Debentures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3,379,200 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(1)Our $200.0 mortgage loan secured by Bethesda Row matures on December 28, 2026 plus one one-year extension, at our option to December 28, 2027.</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(2)Our $1.25 billion revolving credit facility matures on April 5, 2027 plus two six-month extensions, at our option to April 5, 2028. As of December 31, 2025, there was $310.0 million outstanding under this credit facility.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(3)Our $55.0 million mortgage loan secured by Azalea matures on October 30, 2028, plus two one-year extensions at our option to October 30, 2030.</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(4)Our $750.0 million term loan matures on March 20, 2028, plus two one-year extension at our option to March 20, 2030.</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total debt maturities differ from the total reported on the consolidated balance sheet due to the unamortized net debt issuance costs and premium/discount on mortgage loans, notes payable, and senior notes as of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6—FAIR VALUE OF FINANCIAL INSTRUMENTS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fair value measurement is based on the assumptions that market participants would use in pricing an asset or liability in an orderly transaction. The hierarchy for inputs used in measuring fair value are as follows:</w:t>
      </w:r>
    </w:p>
    <w:tbl>
      <w:tblPr>
        <w:tblW w:w="6956" w:type="dxa"/>
        <w:jc w:val="left"/>
        <w:tblInd w:w="0" w:type="dxa"/>
        <w:tblLayout w:type="fixed"/>
        <w:tblCellMar>
          <w:top w:w="28" w:type="dxa"/>
          <w:left w:w="28" w:type="dxa"/>
          <w:bottom w:w="28" w:type="dxa"/>
          <w:right w:w="28" w:type="dxa"/>
        </w:tblCellMar>
      </w:tblPr>
      <w:tblGrid>
        <w:gridCol w:w="124"/>
        <w:gridCol w:w="109"/>
        <w:gridCol w:w="109"/>
        <w:gridCol w:w="1932"/>
        <w:gridCol w:w="1932"/>
        <w:gridCol w:w="27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 Inputs—quoted prices in active markets for identical assets or liabilities</w:t>
            </w:r>
          </w:p>
        </w:tc>
      </w:tr>
    </w:tbl>
    <w:tbl>
      <w:tblPr>
        <w:tblW w:w="9447" w:type="dxa"/>
        <w:jc w:val="left"/>
        <w:tblInd w:w="0" w:type="dxa"/>
        <w:tblLayout w:type="fixed"/>
        <w:tblCellMar>
          <w:top w:w="28" w:type="dxa"/>
          <w:left w:w="28" w:type="dxa"/>
          <w:bottom w:w="28" w:type="dxa"/>
          <w:right w:w="28" w:type="dxa"/>
        </w:tblCellMar>
      </w:tblPr>
      <w:tblGrid>
        <w:gridCol w:w="124"/>
        <w:gridCol w:w="109"/>
        <w:gridCol w:w="109"/>
        <w:gridCol w:w="2663"/>
        <w:gridCol w:w="2663"/>
        <w:gridCol w:w="37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 Inputs—observable inputs other than quoted prices in active markets for identical assets and liabilities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 Inputs—prices or valuation techniques that require inputs that are both significant to the fair value measurement and unobservable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tbl>
      <w:tblPr>
        <w:tblW w:w="8714" w:type="dxa"/>
        <w:jc w:val="left"/>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04"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04"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Mortgages and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2,645,097 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Exchangeable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our outstanding interest rate swap agreements on consolidated debt as of December 31, 2025: </w:t>
      </w:r>
    </w:p>
    <w:tbl>
      <w:tblPr>
        <w:tblW w:w="10205" w:type="dxa"/>
        <w:jc w:val="left"/>
        <w:tblInd w:w="0" w:type="dxa"/>
        <w:tblLayout w:type="fixed"/>
        <w:tblCellMar>
          <w:top w:w="28" w:type="dxa"/>
          <w:left w:w="28" w:type="dxa"/>
          <w:bottom w:w="28" w:type="dxa"/>
          <w:right w:w="28" w:type="dxa"/>
        </w:tblCellMar>
      </w:tblPr>
      <w:tblGrid>
        <w:gridCol w:w="581"/>
        <w:gridCol w:w="402"/>
        <w:gridCol w:w="403"/>
        <w:gridCol w:w="109"/>
        <w:gridCol w:w="109"/>
        <w:gridCol w:w="109"/>
        <w:gridCol w:w="109"/>
        <w:gridCol w:w="109"/>
        <w:gridCol w:w="246"/>
        <w:gridCol w:w="720"/>
        <w:gridCol w:w="127"/>
        <w:gridCol w:w="109"/>
        <w:gridCol w:w="109"/>
        <w:gridCol w:w="109"/>
        <w:gridCol w:w="606"/>
        <w:gridCol w:w="606"/>
        <w:gridCol w:w="608"/>
        <w:gridCol w:w="109"/>
        <w:gridCol w:w="109"/>
        <w:gridCol w:w="109"/>
        <w:gridCol w:w="411"/>
        <w:gridCol w:w="312"/>
        <w:gridCol w:w="781"/>
        <w:gridCol w:w="109"/>
        <w:gridCol w:w="109"/>
        <w:gridCol w:w="109"/>
        <w:gridCol w:w="614"/>
        <w:gridCol w:w="529"/>
        <w:gridCol w:w="531"/>
        <w:gridCol w:w="109"/>
        <w:gridCol w:w="109"/>
        <w:gridCol w:w="109"/>
        <w:gridCol w:w="225"/>
        <w:gridCol w:w="476"/>
        <w:gridCol w:w="174"/>
      </w:tblGrid>
      <w:tr>
        <w:trPr/>
        <w:tc>
          <w:tcPr>
            <w:tcW w:w="58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 of Related Swap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 million term loan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4.17 </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Hoboken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500.6 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3" w:type="dxa"/>
            <w:gridSpan w:val="2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These interest rate swaps were entered into during the year ended December 31, 2025, and fix the interest rate on $450.0 million of our unsecured term loan.</w:t>
            </w:r>
          </w:p>
        </w:tc>
        <w:tc>
          <w:tcPr>
            <w:tcW w:w="1202"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 agreements are based on the estimated amounts we would receive or pay to terminate the contracts at the reporting date and are determined using interest rate pricing models and interest rate related observable inputs. During 2025, the value of our interest rate swaps decreased $2.6 million (including $2.5 million reclassified from other comprehensive income as a decrease to interest expense). A summary of our net financial assets that are measured at fair value on a recurring basis, by level within the fair value hierarchy is as follows:</w:t>
      </w:r>
    </w:p>
    <w:tbl>
      <w:tblPr>
        <w:tblW w:w="10205" w:type="dxa"/>
        <w:jc w:val="center"/>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entered into interest rate swap agreements for two of our equity method investees. Therefore, as of December 31, 2025, three of our equity method investees have interest rate swaps which qualify as cash flow hedges. At December 31, 2025 and December 31, 2024, our share of the change in fair value of the related swaps included in "accumulated other comprehensive (loss) income" was a loss of $0.3 million and income of $0.2 million, respectively.</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7—COMMITMENTS AND CONTINGENCIES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self-insured for general liability costs up to predetermined retained amounts per claim, and we believe that we maintain adequate accruals to cover our retained liability.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our reserves for general liability costs were $5.0 million and $4.4 million, respectively, and are included in “accounts payable and accrued expenses” in our consolidated balance sheets. Any potential losses which exceed our estimates would result in a decrease in our net income. During 2025 and 2024, we made payments from these reserves of $2.9 million and $2.1 million, respectively. Although we consider the reserve to be adequate, there can be no assurance that the reserve will prove to be adequate over-time to cover losses due to the difference between the assumptions used to estimate the reserve and actual losses.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December 11, 2019, we received proceeds related to the sale under threat of condemnation at San Antonio Center as discussed in our Annual Report on Form 10-K for the year ended December 31, 2019. We indemnified the condemning authority for all costs incurred related to the condemnation proceedings including any payments required to tenants at the property and recorded a corresponding liability for our estimate of these costs. At December 31, 2025, we have a liability of $3.4 million to reflect our estimate of the remaining costs.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June 2018, we formed a joint venture to develop Freedom Plaza (formerly Jordan Downs Plaza), for which we own 92%. The investment in this development qualified for tax credits under the New Market Tax Credit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for the year ended December 31, 2025, we recognized $14.2 million ($13.0 million, net of income attributable to noncontrolling interest) in income related to the sale of the new market tax credits.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we had letters of credit outstanding of approximately $5.5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in connection with capital improvement, development, and redevelopment projects, we have contractual obligations of approximately $314.2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obligated under operating lease agreements on several shopping centers and one office lease requiring minimum annual payments as follows, as of December 31, 2025:</w:t>
      </w:r>
    </w:p>
    <w:tbl>
      <w:tblPr>
        <w:tblW w:w="5189" w:type="dxa"/>
        <w:jc w:val="left"/>
        <w:tblInd w:w="0" w:type="dxa"/>
        <w:tblLayout w:type="fixed"/>
        <w:tblCellMar>
          <w:top w:w="28" w:type="dxa"/>
          <w:left w:w="28" w:type="dxa"/>
          <w:bottom w:w="28" w:type="dxa"/>
          <w:right w:w="28" w:type="dxa"/>
        </w:tblCellMar>
      </w:tblPr>
      <w:tblGrid>
        <w:gridCol w:w="1452"/>
        <w:gridCol w:w="1275"/>
        <w:gridCol w:w="1278"/>
        <w:gridCol w:w="229"/>
        <w:gridCol w:w="786"/>
        <w:gridCol w:w="169"/>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operating lease payments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pPr>
      <w:r>
        <w:rPr>
          <w:rFonts w:ascii="Times New Roman;serif" w:hAnsi="Times New Roman;serif"/>
          <w:b w:val="false"/>
          <w:color w:val="000000"/>
          <w:sz w:val="20"/>
        </w:rPr>
        <w:t>Future minimum lease payments and their present value for properties under finance leases as of December 31, 2025, are as follows:</w:t>
      </w:r>
      <w:r>
        <w:rPr>
          <w:color w:val="000000"/>
        </w:rPr>
        <w:t> </w:t>
      </w:r>
    </w:p>
    <w:tbl>
      <w:tblPr>
        <w:tblW w:w="5008" w:type="dxa"/>
        <w:jc w:val="left"/>
        <w:tblInd w:w="0" w:type="dxa"/>
        <w:tblLayout w:type="fixed"/>
        <w:tblCellMar>
          <w:top w:w="28" w:type="dxa"/>
          <w:left w:w="28" w:type="dxa"/>
          <w:bottom w:w="28" w:type="dxa"/>
          <w:right w:w="28" w:type="dxa"/>
        </w:tblCellMar>
      </w:tblPr>
      <w:tblGrid>
        <w:gridCol w:w="1386"/>
        <w:gridCol w:w="1216"/>
        <w:gridCol w:w="1222"/>
        <w:gridCol w:w="229"/>
        <w:gridCol w:w="786"/>
        <w:gridCol w:w="169"/>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finance lease payments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2025, our estimated maximum liability upon exercise of the put option would range from approximately $62 million to $63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master lease for Melville Mall, as amended on January 15, 2026, includes a fixed price put option at any time on or prior to June 30, 2030 for $4.5 million. Additionally, we have the right to purchase Melville Mall in 2031 for approximately $5.0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2025, our estimated maximum liability upon exercise of the put option would range from $9 million to $10 million.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other member in Hoboken has the right to require us to purchase all of its 10.0% ownership interest at the interest's then-current fair market value. Based on management's current estimate of fair market value as of December 31, 2025, our estimated maximum liability upon exercise of the put option would range from $12 million to $13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Effective June 14, 2026, the other member in Camelback Colonnade and The Shops at Hilton Village has the right to require us to purchase all of its 2.0% ownership interest at the interest's then-current fair market value. Based on management's current estimate of fair value as of December 31, 2025, our estimated maximum liability upon exercise of the put option would range from $4 million to $5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2025, our estimated maximum liability upon exercise of the put option would range from $1 million and $2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Effective June 1, 2029, the other member in Grossmont Center has the right to require us to purchase all of its 40.0% ownership interest at the interest's then-current fair market value. Based on management's current estimate of fair value as of December 31, 2025, our estimated maximum liability upon exercise of the put option would range from $68 million to $73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Under the terms of certain partnership agreements, the partners have the right to exchange their operating partnership units for cash or the same number of our common shares, at our option. A total of 526,915 downREIT operating partnership units are outstanding which have a total fair value of $53.1 million, based on our closing stock price on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8—SHAREHOLDERS’ EQUITY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a Dividend Reinvestment Plan (the “Plan”), whereby shareholders may use their dividends and optional cash payments to purchase shares. In 2025, 2024 and 2023, 19,139 shares, 18,101 shares, and 19,847 shares, respectively, were issued under the Plan.</w:t>
      </w:r>
    </w:p>
    <w:p>
      <w:pPr>
        <w:pStyle w:val="TextBody"/>
        <w:bidi w:val="0"/>
        <w:spacing w:lineRule="auto" w:line="288" w:before="10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2024, and 2023, we had 6,000,000 Depositary Shares outstanding, each representing 1/1000th interest of 5.0% Series C Cumulative Redeemable Preferred Share, par value $0.01 per share ("Series C Preferred Shares"), at the liquidation preference of $25.00 per depositary share (or $25,000 per Series C Preferred share). The Series C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160"/>
        <w:jc w:val="left"/>
        <w:rPr>
          <w:rFonts w:ascii="Times New Roman;serif" w:hAnsi="Times New Roman;serif"/>
          <w:b w:val="false"/>
          <w:color w:val="000000"/>
          <w:sz w:val="20"/>
        </w:rPr>
      </w:pPr>
      <w:r>
        <w:rPr>
          <w:rFonts w:ascii="Times New Roman;serif" w:hAnsi="Times New Roman;serif"/>
          <w:b w:val="false"/>
          <w:color w:val="000000"/>
          <w:sz w:val="20"/>
        </w:rPr>
        <w:t>Shares accrue dividends at a rate of 5.0% of the $25,000 liquidation preference per year and are redeemable at our option. Additionally, they are not convertible and holders of these shares generally have no voting rights, unless we fail to pay dividends for six or more quarters.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2024, and 2023, we had 392,878 shares of 5.417% Series 1 Cumulative Convertible Preferred Shares (“Series 1 Preferred Shares”) outstanding that have a liquidation preference of $25 per share and 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2025, there were no sales and we did not enter into any forward sales contracts under the amended ATM equity program, and therefore we have the remaining capacity to issue up to $750.0 million in common shares under this program as of December 31,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we issued 2,059,654 common shares at a weighted average price per share of $109.20 for net cash proceeds of $222.3 million including paying $2.2 million in commissions and $0.4 million in additional offering expenses related to the sales of these common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2024, we also entered into forward sales contracts for 1,186,422 common shares under our ATM equity program at a weighted average offering price of $115.72. During 2024, we settled a portion of the forward sales agreements entered into during the year by issuing 709,925 common shares for net proceeds of $81.7 million. During 2025, we settled our remaining open forward sales agreements by issuing 476,497 common shares for net proceeds of $54.2 million.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April 2025, our Board of Trustees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December 31, 2025, no common shares have been repurchased through the program.</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9—DIVIDENDS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dividends declared and paid per share:</w:t>
      </w:r>
    </w:p>
    <w:tbl>
      <w:tblPr>
        <w:tblW w:w="10205" w:type="dxa"/>
        <w:jc w:val="left"/>
        <w:tblInd w:w="0" w:type="dxa"/>
        <w:tblLayout w:type="fixed"/>
        <w:tblCellMar>
          <w:top w:w="28" w:type="dxa"/>
          <w:left w:w="28" w:type="dxa"/>
          <w:bottom w:w="28" w:type="dxa"/>
          <w:right w:w="28" w:type="dxa"/>
        </w:tblCellMar>
      </w:tblPr>
      <w:tblGrid>
        <w:gridCol w:w="1122"/>
        <w:gridCol w:w="898"/>
        <w:gridCol w:w="88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1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w:t>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Amount represents dividends per depositary share, each representing 1/1000th of a share.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income tax status of dividends per share paid is as follows:</w:t>
      </w:r>
    </w:p>
    <w:tbl>
      <w:tblPr>
        <w:tblW w:w="8261" w:type="dxa"/>
        <w:jc w:val="left"/>
        <w:tblInd w:w="0" w:type="dxa"/>
        <w:tblLayout w:type="fixed"/>
        <w:tblCellMar>
          <w:top w:w="28" w:type="dxa"/>
          <w:left w:w="28" w:type="dxa"/>
          <w:bottom w:w="28" w:type="dxa"/>
          <w:right w:w="28" w:type="dxa"/>
        </w:tblCellMar>
      </w:tblPr>
      <w:tblGrid>
        <w:gridCol w:w="1721"/>
        <w:gridCol w:w="1512"/>
        <w:gridCol w:w="1521"/>
        <w:gridCol w:w="211"/>
        <w:gridCol w:w="616"/>
        <w:gridCol w:w="109"/>
        <w:gridCol w:w="109"/>
        <w:gridCol w:w="109"/>
        <w:gridCol w:w="109"/>
        <w:gridCol w:w="211"/>
        <w:gridCol w:w="616"/>
        <w:gridCol w:w="109"/>
        <w:gridCol w:w="109"/>
        <w:gridCol w:w="109"/>
        <w:gridCol w:w="109"/>
        <w:gridCol w:w="211"/>
        <w:gridCol w:w="616"/>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54"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dividend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gain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dividend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dividend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On October 31, 2025, the Trustees declared a quarterly cash dividend of $1.13 per common share, payable January 15, 2026 to common shareholders of record on January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10— 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our 104 predominantly retail shopping center and mixed-use properties are located in 14 states and the District of Columbia. There are approximately 3,700 commercial leases and 2,700 residential leases. Our commercial tenants range from sole proprietorships to national retailers and corporations. At December 31, 2025, no one tenant or corporate group of tenants accounted for more than 2.4% of annualized base rent.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future minimum rentals from noncancelable commercial operating leases (excluding both tenant reimbursements of operating expenses and percentage rent based on tenants' sales) are as follows:</w:t>
      </w:r>
    </w:p>
    <w:tbl>
      <w:tblPr>
        <w:tblW w:w="3606" w:type="dxa"/>
        <w:jc w:val="left"/>
        <w:tblInd w:w="0" w:type="dxa"/>
        <w:tblLayout w:type="fixed"/>
        <w:tblCellMar>
          <w:top w:w="28" w:type="dxa"/>
          <w:left w:w="28" w:type="dxa"/>
          <w:bottom w:w="28" w:type="dxa"/>
          <w:right w:w="28" w:type="dxa"/>
        </w:tblCellMar>
      </w:tblPr>
      <w:tblGrid>
        <w:gridCol w:w="821"/>
        <w:gridCol w:w="721"/>
        <w:gridCol w:w="723"/>
        <w:gridCol w:w="211"/>
        <w:gridCol w:w="97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5,445,376 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on our operating and finance leases where we are the lessee:</w:t>
      </w:r>
    </w:p>
    <w:tbl>
      <w:tblPr>
        <w:tblW w:w="10067" w:type="dxa"/>
        <w:jc w:val="center"/>
        <w:tblInd w:w="0" w:type="dxa"/>
        <w:tblLayout w:type="fixed"/>
        <w:tblCellMar>
          <w:top w:w="28" w:type="dxa"/>
          <w:left w:w="28" w:type="dxa"/>
          <w:bottom w:w="28" w:type="dxa"/>
          <w:right w:w="28" w:type="dxa"/>
        </w:tblCellMar>
      </w:tblPr>
      <w:tblGrid>
        <w:gridCol w:w="2100"/>
        <w:gridCol w:w="1843"/>
        <w:gridCol w:w="1861"/>
        <w:gridCol w:w="109"/>
        <w:gridCol w:w="109"/>
        <w:gridCol w:w="109"/>
        <w:gridCol w:w="211"/>
        <w:gridCol w:w="616"/>
        <w:gridCol w:w="109"/>
        <w:gridCol w:w="109"/>
        <w:gridCol w:w="109"/>
        <w:gridCol w:w="109"/>
        <w:gridCol w:w="211"/>
        <w:gridCol w:w="616"/>
        <w:gridCol w:w="271"/>
        <w:gridCol w:w="109"/>
        <w:gridCol w:w="109"/>
        <w:gridCol w:w="109"/>
        <w:gridCol w:w="211"/>
        <w:gridCol w:w="721"/>
        <w:gridCol w:w="316"/>
      </w:tblGrid>
      <w:tr>
        <w:trPr/>
        <w:tc>
          <w:tcPr>
            <w:tcW w:w="210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years</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years</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11—COMPONENTS OF RENTAL EXPENSES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rental expenses are as follows:</w:t>
      </w:r>
    </w:p>
    <w:tbl>
      <w:tblPr>
        <w:tblW w:w="6477" w:type="dxa"/>
        <w:jc w:val="left"/>
        <w:tblInd w:w="0" w:type="dxa"/>
        <w:tblLayout w:type="fixed"/>
        <w:tblCellMar>
          <w:top w:w="28" w:type="dxa"/>
          <w:left w:w="28" w:type="dxa"/>
          <w:bottom w:w="28" w:type="dxa"/>
          <w:right w:w="28" w:type="dxa"/>
        </w:tblCellMar>
      </w:tblPr>
      <w:tblGrid>
        <w:gridCol w:w="849"/>
        <w:gridCol w:w="744"/>
        <w:gridCol w:w="747"/>
        <w:gridCol w:w="211"/>
        <w:gridCol w:w="826"/>
        <w:gridCol w:w="109"/>
        <w:gridCol w:w="109"/>
        <w:gridCol w:w="109"/>
        <w:gridCol w:w="109"/>
        <w:gridCol w:w="211"/>
        <w:gridCol w:w="826"/>
        <w:gridCol w:w="109"/>
        <w:gridCol w:w="109"/>
        <w:gridCol w:w="109"/>
        <w:gridCol w:w="109"/>
        <w:gridCol w:w="211"/>
        <w:gridCol w:w="826"/>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4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40" w:type="dxa"/>
            <w:gridSpan w:val="3"/>
            <w:vMerge w:val="continue"/>
            <w:tcBorders/>
            <w:tcMar>
              <w:top w:w="0" w:type="dxa"/>
              <w:left w:w="0" w:type="dxa"/>
              <w:bottom w:w="0" w:type="dxa"/>
              <w:right w:w="0" w:type="dxa"/>
            </w:tcMar>
            <w:vAlign w:val="center"/>
          </w:tcPr>
          <w:p>
            <w:pPr>
              <w:pStyle w:val="Normal"/>
              <w:bidi w:val="0"/>
              <w:jc w:val="left"/>
              <w:rPr/>
            </w:pPr>
            <w:r>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Repairs and maintenance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and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rental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12—SHARE-BASED COMPENSATION PLANS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share-based compensation expense included in net income is as follows:</w:t>
      </w:r>
    </w:p>
    <w:tbl>
      <w:tblPr>
        <w:tblW w:w="8787" w:type="dxa"/>
        <w:jc w:val="left"/>
        <w:tblInd w:w="0" w:type="dxa"/>
        <w:tblLayout w:type="fixed"/>
        <w:tblCellMar>
          <w:top w:w="28" w:type="dxa"/>
          <w:left w:w="28" w:type="dxa"/>
          <w:bottom w:w="28" w:type="dxa"/>
          <w:right w:w="28" w:type="dxa"/>
        </w:tblCellMar>
      </w:tblPr>
      <w:tblGrid>
        <w:gridCol w:w="1797"/>
        <w:gridCol w:w="1581"/>
        <w:gridCol w:w="1587"/>
        <w:gridCol w:w="211"/>
        <w:gridCol w:w="721"/>
        <w:gridCol w:w="109"/>
        <w:gridCol w:w="109"/>
        <w:gridCol w:w="109"/>
        <w:gridCol w:w="109"/>
        <w:gridCol w:w="211"/>
        <w:gridCol w:w="721"/>
        <w:gridCol w:w="109"/>
        <w:gridCol w:w="109"/>
        <w:gridCol w:w="109"/>
        <w:gridCol w:w="109"/>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grants outstanding under two share-based compensation plans. In May 2020, our shareholders approved the 2020 Performance Incentive Plan ("the 2020 Plan"), which authorized the grant of share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common shares, and other share-based awards for up to 1,750,000 common shares of beneficial interest. Our 2010 Long Term Incentive Plan, as amended (the "2010 Plan”), which expired in May 2020, authorized the grant of share options, common shares and other share-based awards for up to 2,450,000 common shares of beneficial interest.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Option awards under the plans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termination without cause.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2025 and 2023. The following table provides a summary of the assumptions used to value options granted in 2024: </w:t>
      </w:r>
    </w:p>
    <w:tbl>
      <w:tblPr>
        <w:tblW w:w="4168" w:type="dxa"/>
        <w:jc w:val="center"/>
        <w:tblInd w:w="0" w:type="dxa"/>
        <w:tblLayout w:type="fixed"/>
        <w:tblCellMar>
          <w:top w:w="28" w:type="dxa"/>
          <w:left w:w="28" w:type="dxa"/>
          <w:bottom w:w="28" w:type="dxa"/>
          <w:right w:w="28" w:type="dxa"/>
        </w:tblCellMar>
      </w:tblPr>
      <w:tblGrid>
        <w:gridCol w:w="772"/>
        <w:gridCol w:w="676"/>
        <w:gridCol w:w="681"/>
        <w:gridCol w:w="414"/>
        <w:gridCol w:w="414"/>
        <w:gridCol w:w="1211"/>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left"/>
        <w:rPr/>
      </w:pPr>
      <w:r>
        <w:rPr>
          <w:rFonts w:ascii="Times New Roman;serif" w:hAnsi="Times New Roman;serif"/>
          <w:b w:val="false"/>
          <w:color w:val="000000"/>
          <w:sz w:val="20"/>
        </w:rPr>
        <w:t>The weighted-average grant-date fair value of options granted in 2024 was $24.59 per share. The following table provides a summary of option activity for 2025:</w:t>
      </w:r>
      <w:r>
        <w:rPr>
          <w:color w:val="000000"/>
        </w:rPr>
        <w:t> </w:t>
      </w:r>
    </w:p>
    <w:tbl>
      <w:tblPr>
        <w:tblW w:w="8288" w:type="dxa"/>
        <w:jc w:val="left"/>
        <w:tblInd w:w="0" w:type="dxa"/>
        <w:tblLayout w:type="fixed"/>
        <w:tblCellMar>
          <w:top w:w="28" w:type="dxa"/>
          <w:left w:w="28" w:type="dxa"/>
          <w:bottom w:w="28" w:type="dxa"/>
          <w:right w:w="28" w:type="dxa"/>
        </w:tblCellMar>
      </w:tblPr>
      <w:tblGrid>
        <w:gridCol w:w="1065"/>
        <w:gridCol w:w="936"/>
        <w:gridCol w:w="938"/>
        <w:gridCol w:w="308"/>
        <w:gridCol w:w="308"/>
        <w:gridCol w:w="206"/>
        <w:gridCol w:w="109"/>
        <w:gridCol w:w="109"/>
        <w:gridCol w:w="109"/>
        <w:gridCol w:w="211"/>
        <w:gridCol w:w="616"/>
        <w:gridCol w:w="109"/>
        <w:gridCol w:w="109"/>
        <w:gridCol w:w="109"/>
        <w:gridCol w:w="109"/>
        <w:gridCol w:w="475"/>
        <w:gridCol w:w="475"/>
        <w:gridCol w:w="476"/>
        <w:gridCol w:w="109"/>
        <w:gridCol w:w="109"/>
        <w:gridCol w:w="109"/>
        <w:gridCol w:w="402"/>
        <w:gridCol w:w="487"/>
        <w:gridCol w:w="295"/>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Under</w:t>
              <w:b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61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restricted share award activity for 2025:</w:t>
      </w:r>
    </w:p>
    <w:tbl>
      <w:tblPr>
        <w:tblW w:w="5638" w:type="dxa"/>
        <w:jc w:val="left"/>
        <w:tblInd w:w="0" w:type="dxa"/>
        <w:tblLayout w:type="fixed"/>
        <w:tblCellMar>
          <w:top w:w="28" w:type="dxa"/>
          <w:left w:w="28" w:type="dxa"/>
          <w:bottom w:w="28" w:type="dxa"/>
          <w:right w:w="28" w:type="dxa"/>
        </w:tblCellMar>
      </w:tblPr>
      <w:tblGrid>
        <w:gridCol w:w="977"/>
        <w:gridCol w:w="858"/>
        <w:gridCol w:w="864"/>
        <w:gridCol w:w="449"/>
        <w:gridCol w:w="451"/>
        <w:gridCol w:w="196"/>
        <w:gridCol w:w="109"/>
        <w:gridCol w:w="109"/>
        <w:gridCol w:w="109"/>
        <w:gridCol w:w="294"/>
        <w:gridCol w:w="1006"/>
        <w:gridCol w:w="216"/>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Grant-Date Fair</w:t>
              <w:br/>
              <w:t>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280,555 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stock awarded in 2025, 2024 and 2023 was $110.17, $101.84 and $109.44, respectively. The total vesting-date fair value of shares vested during the year ended December 31, 2025, 2024 and 2023, was $14.0 million, $17.3 million and $14.4 million,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10, 2021, 10,441 restricted stock units were awarded to an officer, of which 7,204 vested on January 7, 2025, based on meeting certain market based performance criteria. The amount of dividend equivalent rights related to these units is approximately $0.1 million, and was recorded against retained earnings for the year ended December 31, 2024. The weighted-average grant-date fair value of the restricted stock units awarded in 2021 was $97.01.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$17.2 million of total unrecognized compensation cost related to unvested share-based compensation arrangements (i.e. options and unvested shares) granted under our plans. This cost is expected to be recognized over the next 4.3 years with a weighted-average period of 1.8 years.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Subsequent to December 31, 2025, common shares were awarded under various compensation plans as follows:</w:t>
      </w:r>
    </w:p>
    <w:tbl>
      <w:tblPr>
        <w:tblW w:w="8485" w:type="dxa"/>
        <w:jc w:val="left"/>
        <w:tblInd w:w="0" w:type="dxa"/>
        <w:tblLayout w:type="fixed"/>
        <w:tblCellMar>
          <w:top w:w="28" w:type="dxa"/>
          <w:left w:w="28" w:type="dxa"/>
          <w:bottom w:w="28" w:type="dxa"/>
          <w:right w:w="28" w:type="dxa"/>
        </w:tblCellMar>
      </w:tblPr>
      <w:tblGrid>
        <w:gridCol w:w="577"/>
        <w:gridCol w:w="509"/>
        <w:gridCol w:w="519"/>
        <w:gridCol w:w="109"/>
        <w:gridCol w:w="109"/>
        <w:gridCol w:w="109"/>
        <w:gridCol w:w="413"/>
        <w:gridCol w:w="413"/>
        <w:gridCol w:w="109"/>
        <w:gridCol w:w="498"/>
        <w:gridCol w:w="498"/>
        <w:gridCol w:w="504"/>
        <w:gridCol w:w="109"/>
        <w:gridCol w:w="109"/>
        <w:gridCol w:w="109"/>
        <w:gridCol w:w="359"/>
        <w:gridCol w:w="359"/>
        <w:gridCol w:w="361"/>
        <w:gridCol w:w="109"/>
        <w:gridCol w:w="109"/>
        <w:gridCol w:w="109"/>
        <w:gridCol w:w="696"/>
        <w:gridCol w:w="696"/>
        <w:gridCol w:w="993"/>
      </w:tblGrid>
      <w:tr>
        <w:trPr/>
        <w:tc>
          <w:tcPr>
            <w:tcW w:w="57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Vesting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Beneficiary</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Immediate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Trustees</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and key employees</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13—SAVINGS AND RETIREMENT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a savings and retirement plan in accordance with the provisions of Section 401(k) of the Code. Generally, employees can elect, at their discretion, to contribute a portion of their compensation up to a maximum of $23,500 for 2025, $23,000 for 2024, and 22,500 for 2023.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2025, 2024 and 2023 was approximately $1,061,000, $1,012,000 and $960,000,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non-qualified deferred compensation plan for our officers and certain other employees was established in 1994 that allows the participants to defer a portion of their income. As of December 31, 2025 and 2024, we are liable to participants for approximately $27.0 million and $24.0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14—EARNINGS PER SHARE AND UNIT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2025, 2024, and 2023,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 below.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exercise of 1,190 stock options in both 2025 and 2024 and 1,829 stock options in 2023,</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shares issuable upon the assumed redemption of outstanding downREIT operating partnership units for 2024, and 2023</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5.417% Series 1 Cumulative Convertible Preferred Shares and units for 2025, 2024, and 2023,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issuance of 1.2 million shares and units issuable under common share forward sales agreements in 2024.</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Potentially issuable shares and units in exchange for the 3.25% Exchangeable Senior Notes due 2029 for both 2025 and 2024, did not have a dilutive effect on the diluted EPS and EPU calculations.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Additionally, 7,204 unvested restricted stock shares and units are included in the diluted EPS and EPU calculations for 2024, as certain market based performance criteria in the award was achieved as of December 31, 2024.</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Federal Realty Investment Trust Earnings per Share</w:t>
      </w:r>
    </w:p>
    <w:tbl>
      <w:tblPr>
        <w:tblW w:w="9837" w:type="dxa"/>
        <w:jc w:val="left"/>
        <w:tblInd w:w="0" w:type="dxa"/>
        <w:tblLayout w:type="fixed"/>
        <w:tblCellMar>
          <w:top w:w="28" w:type="dxa"/>
          <w:left w:w="28" w:type="dxa"/>
          <w:bottom w:w="28" w:type="dxa"/>
          <w:right w:w="28" w:type="dxa"/>
        </w:tblCellMar>
      </w:tblPr>
      <w:tblGrid>
        <w:gridCol w:w="2064"/>
        <w:gridCol w:w="1814"/>
        <w:gridCol w:w="1822"/>
        <w:gridCol w:w="211"/>
        <w:gridCol w:w="826"/>
        <w:gridCol w:w="109"/>
        <w:gridCol w:w="109"/>
        <w:gridCol w:w="109"/>
        <w:gridCol w:w="109"/>
        <w:gridCol w:w="211"/>
        <w:gridCol w:w="826"/>
        <w:gridCol w:w="109"/>
        <w:gridCol w:w="109"/>
        <w:gridCol w:w="109"/>
        <w:gridCol w:w="109"/>
        <w:gridCol w:w="211"/>
        <w:gridCol w:w="826"/>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share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from operations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 basic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Income attributable to 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performance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 AND DILUTED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Federal Realty OP LP Earnings per Unit</w:t>
      </w:r>
    </w:p>
    <w:tbl>
      <w:tblPr>
        <w:tblW w:w="9837" w:type="dxa"/>
        <w:jc w:val="left"/>
        <w:tblInd w:w="0" w:type="dxa"/>
        <w:tblLayout w:type="fixed"/>
        <w:tblCellMar>
          <w:top w:w="28" w:type="dxa"/>
          <w:left w:w="28" w:type="dxa"/>
          <w:bottom w:w="28" w:type="dxa"/>
          <w:right w:w="28" w:type="dxa"/>
        </w:tblCellMar>
      </w:tblPr>
      <w:tblGrid>
        <w:gridCol w:w="2064"/>
        <w:gridCol w:w="1814"/>
        <w:gridCol w:w="1822"/>
        <w:gridCol w:w="211"/>
        <w:gridCol w:w="826"/>
        <w:gridCol w:w="109"/>
        <w:gridCol w:w="109"/>
        <w:gridCol w:w="109"/>
        <w:gridCol w:w="109"/>
        <w:gridCol w:w="211"/>
        <w:gridCol w:w="826"/>
        <w:gridCol w:w="109"/>
        <w:gridCol w:w="109"/>
        <w:gridCol w:w="109"/>
        <w:gridCol w:w="109"/>
        <w:gridCol w:w="211"/>
        <w:gridCol w:w="826"/>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unit data)</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unit distributions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from operations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 basic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Income attributable to 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 outstanding—basic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performance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 outstanding—diluted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UNIT, BASIC AND DILUTED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15—SUBSEQUENT EVENT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January 6, 2026, we purchased the fee interest under one of our ground leases at Bethesda Row for $2.5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5, 2026, we sold a residential building at our Santana Row property and our Courthouse Center property for sales prices totaling $158.5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tbl>
      <w:tblPr>
        <w:tblW w:w="15974" w:type="dxa"/>
        <w:jc w:val="center"/>
        <w:tblInd w:w="0" w:type="dxa"/>
        <w:tblLayout w:type="fixed"/>
        <w:tblCellMar>
          <w:top w:w="28" w:type="dxa"/>
          <w:left w:w="28" w:type="dxa"/>
          <w:bottom w:w="28" w:type="dxa"/>
          <w:right w:w="28" w:type="dxa"/>
        </w:tblCellMar>
      </w:tblPr>
      <w:tblGrid>
        <w:gridCol w:w="869"/>
        <w:gridCol w:w="277"/>
        <w:gridCol w:w="280"/>
        <w:gridCol w:w="109"/>
        <w:gridCol w:w="109"/>
        <w:gridCol w:w="109"/>
        <w:gridCol w:w="421"/>
        <w:gridCol w:w="109"/>
        <w:gridCol w:w="368"/>
        <w:gridCol w:w="368"/>
        <w:gridCol w:w="308"/>
        <w:gridCol w:w="109"/>
        <w:gridCol w:w="109"/>
        <w:gridCol w:w="109"/>
        <w:gridCol w:w="198"/>
        <w:gridCol w:w="652"/>
        <w:gridCol w:w="111"/>
        <w:gridCol w:w="109"/>
        <w:gridCol w:w="109"/>
        <w:gridCol w:w="109"/>
        <w:gridCol w:w="196"/>
        <w:gridCol w:w="646"/>
        <w:gridCol w:w="109"/>
        <w:gridCol w:w="109"/>
        <w:gridCol w:w="109"/>
        <w:gridCol w:w="109"/>
        <w:gridCol w:w="202"/>
        <w:gridCol w:w="669"/>
        <w:gridCol w:w="109"/>
        <w:gridCol w:w="109"/>
        <w:gridCol w:w="109"/>
        <w:gridCol w:w="109"/>
        <w:gridCol w:w="198"/>
        <w:gridCol w:w="652"/>
        <w:gridCol w:w="111"/>
        <w:gridCol w:w="109"/>
        <w:gridCol w:w="109"/>
        <w:gridCol w:w="109"/>
        <w:gridCol w:w="202"/>
        <w:gridCol w:w="669"/>
        <w:gridCol w:w="109"/>
        <w:gridCol w:w="109"/>
        <w:gridCol w:w="109"/>
        <w:gridCol w:w="109"/>
        <w:gridCol w:w="202"/>
        <w:gridCol w:w="669"/>
        <w:gridCol w:w="109"/>
        <w:gridCol w:w="109"/>
        <w:gridCol w:w="109"/>
        <w:gridCol w:w="109"/>
        <w:gridCol w:w="196"/>
        <w:gridCol w:w="646"/>
        <w:gridCol w:w="109"/>
        <w:gridCol w:w="109"/>
        <w:gridCol w:w="109"/>
        <w:gridCol w:w="109"/>
        <w:gridCol w:w="294"/>
        <w:gridCol w:w="294"/>
        <w:gridCol w:w="298"/>
        <w:gridCol w:w="109"/>
        <w:gridCol w:w="109"/>
        <w:gridCol w:w="109"/>
        <w:gridCol w:w="275"/>
        <w:gridCol w:w="551"/>
        <w:gridCol w:w="327"/>
        <w:gridCol w:w="901"/>
      </w:tblGrid>
      <w:tr>
        <w:trPr/>
        <w:tc>
          <w:tcPr>
            <w:tcW w:w="86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4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I</w:t>
            </w:r>
          </w:p>
        </w:tc>
      </w:tr>
      <w:tr>
        <w:trPr/>
        <w:tc>
          <w:tcPr>
            <w:tcW w:w="14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4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Pr>
          <w:p>
            <w:pPr>
              <w:pStyle w:val="TableContents"/>
              <w:bidi w:val="0"/>
              <w:spacing w:before="0" w:after="283"/>
              <w:jc w:val="left"/>
              <w:rPr>
                <w:sz w:val="4"/>
                <w:szCs w:val="4"/>
              </w:rPr>
            </w:pPr>
            <w:r>
              <w:rPr>
                <w:sz w:val="4"/>
                <w:szCs w:val="4"/>
              </w:rPr>
            </w:r>
          </w:p>
        </w:tc>
        <w:tc>
          <w:tcPr>
            <w:tcW w:w="66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29TH PLACE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1975 - 2001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ANDORRA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ANNAPOLIS TOWN CENTER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ASSEMBLY ROW/ASSEMBLY SQUARE MARKETPLACE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 2012-2023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AZALEA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54,465 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ON CITY AVENUE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1955/2020/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BARCROFT PLAZA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1972, 1990, &amp; 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1/13/16 &amp; 11/7/16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BARRACKS ROAD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BELL GARDENS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1990, 2003, 2006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 &amp; 11/29/18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BETHESDA ROW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199,735 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12/31/93, 6/2/97, 1/20/06, 9/25/08, 9/30/08, &amp; 12/27/10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BIRCH &amp; BROAD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1960/1962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9/30/67 &amp; 10/05/72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BRICK PLAZA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BROOK 35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CAMELBACK COLONNADE (Arizona)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CAMPUS PLAZA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CHELSEA COMMONS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1962/1969/</w:t>
              <w:br/>
              <w:t>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8/25/06, 1/30/07, &amp; 7/16/08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CHESTERBROOK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5631" w:type="dxa"/>
        <w:jc w:val="center"/>
        <w:tblInd w:w="0" w:type="dxa"/>
        <w:tblLayout w:type="fixed"/>
        <w:tblCellMar>
          <w:top w:w="28" w:type="dxa"/>
          <w:left w:w="28" w:type="dxa"/>
          <w:bottom w:w="28" w:type="dxa"/>
          <w:right w:w="28" w:type="dxa"/>
        </w:tblCellMar>
      </w:tblPr>
      <w:tblGrid>
        <w:gridCol w:w="819"/>
        <w:gridCol w:w="339"/>
        <w:gridCol w:w="343"/>
        <w:gridCol w:w="109"/>
        <w:gridCol w:w="109"/>
        <w:gridCol w:w="109"/>
        <w:gridCol w:w="109"/>
        <w:gridCol w:w="109"/>
        <w:gridCol w:w="304"/>
        <w:gridCol w:w="304"/>
        <w:gridCol w:w="308"/>
        <w:gridCol w:w="109"/>
        <w:gridCol w:w="109"/>
        <w:gridCol w:w="109"/>
        <w:gridCol w:w="323"/>
        <w:gridCol w:w="323"/>
        <w:gridCol w:w="271"/>
        <w:gridCol w:w="109"/>
        <w:gridCol w:w="109"/>
        <w:gridCol w:w="109"/>
        <w:gridCol w:w="368"/>
        <w:gridCol w:w="368"/>
        <w:gridCol w:w="321"/>
        <w:gridCol w:w="109"/>
        <w:gridCol w:w="109"/>
        <w:gridCol w:w="109"/>
        <w:gridCol w:w="368"/>
        <w:gridCol w:w="368"/>
        <w:gridCol w:w="271"/>
        <w:gridCol w:w="109"/>
        <w:gridCol w:w="109"/>
        <w:gridCol w:w="109"/>
        <w:gridCol w:w="323"/>
        <w:gridCol w:w="323"/>
        <w:gridCol w:w="271"/>
        <w:gridCol w:w="109"/>
        <w:gridCol w:w="109"/>
        <w:gridCol w:w="109"/>
        <w:gridCol w:w="368"/>
        <w:gridCol w:w="368"/>
        <w:gridCol w:w="321"/>
        <w:gridCol w:w="109"/>
        <w:gridCol w:w="109"/>
        <w:gridCol w:w="109"/>
        <w:gridCol w:w="368"/>
        <w:gridCol w:w="368"/>
        <w:gridCol w:w="146"/>
        <w:gridCol w:w="109"/>
        <w:gridCol w:w="109"/>
        <w:gridCol w:w="109"/>
        <w:gridCol w:w="323"/>
        <w:gridCol w:w="323"/>
        <w:gridCol w:w="303"/>
        <w:gridCol w:w="109"/>
        <w:gridCol w:w="109"/>
        <w:gridCol w:w="109"/>
        <w:gridCol w:w="294"/>
        <w:gridCol w:w="294"/>
        <w:gridCol w:w="298"/>
        <w:gridCol w:w="109"/>
        <w:gridCol w:w="109"/>
        <w:gridCol w:w="109"/>
        <w:gridCol w:w="275"/>
        <w:gridCol w:w="551"/>
        <w:gridCol w:w="327"/>
        <w:gridCol w:w="901"/>
      </w:tblGrid>
      <w:tr>
        <w:trPr/>
        <w:tc>
          <w:tcPr>
            <w:tcW w:w="8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403"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03"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03"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03"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03"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I</w:t>
            </w:r>
          </w:p>
        </w:tc>
      </w:tr>
      <w:tr>
        <w:trPr/>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COCOWALK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157,522 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1990/1994, 1922-1973, 2018-2021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 7/1/15, 12/16/15, 7/26/16, 6/30/17, &amp; 8/10/17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COLORADO BLVD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1905-1988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CONGRESSIONAL PLAZA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106,874 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73,768 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1965/2003/</w:t>
              <w:b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COURTHOUSE CENTER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CROSSROADS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CROW CANYON COMMONS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67,199 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Late 1970's/</w:t>
              <w:br/>
              <w:t>1998/2006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12/29/05 &amp; 2/28/07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DARIEN COMMONS (Connecticut)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124,422 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1920-2009/2022-2023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4/3/13 &amp; 7/20/18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DEDHAM PLAZA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12/31/93, 12/14/16, 1/29/19, &amp; 3/12/19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 MAR VILLAGE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41,712 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36,090 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1982/1994/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5/30/08, 7/11/08, &amp; 10/14/14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DEL MONTE SHOPPING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89,949 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90,672 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130,284 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1968, 1976, 1984, 2004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BAY BRIDGE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138,035 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150,191 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64,493 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1994-2001, 2011/2012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ELLISBURG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35,954 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10/16/1992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ESCONDIDO PROMENADE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105,736 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FAIRFAX JUNCTION (Virgina)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30,071 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1981/1986/ 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 &amp; 1/10/20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PLAZA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57,602 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FINLEY SQUARE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FLOURTOWN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4/25/1980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FOURTH STREET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5654" w:type="dxa"/>
        <w:jc w:val="center"/>
        <w:tblInd w:w="0" w:type="dxa"/>
        <w:tblLayout w:type="fixed"/>
        <w:tblCellMar>
          <w:top w:w="28" w:type="dxa"/>
          <w:left w:w="28" w:type="dxa"/>
          <w:bottom w:w="28" w:type="dxa"/>
          <w:right w:w="28" w:type="dxa"/>
        </w:tblCellMar>
      </w:tblPr>
      <w:tblGrid>
        <w:gridCol w:w="810"/>
        <w:gridCol w:w="291"/>
        <w:gridCol w:w="295"/>
        <w:gridCol w:w="109"/>
        <w:gridCol w:w="109"/>
        <w:gridCol w:w="109"/>
        <w:gridCol w:w="109"/>
        <w:gridCol w:w="109"/>
        <w:gridCol w:w="323"/>
        <w:gridCol w:w="323"/>
        <w:gridCol w:w="308"/>
        <w:gridCol w:w="109"/>
        <w:gridCol w:w="109"/>
        <w:gridCol w:w="109"/>
        <w:gridCol w:w="368"/>
        <w:gridCol w:w="368"/>
        <w:gridCol w:w="271"/>
        <w:gridCol w:w="109"/>
        <w:gridCol w:w="109"/>
        <w:gridCol w:w="109"/>
        <w:gridCol w:w="368"/>
        <w:gridCol w:w="368"/>
        <w:gridCol w:w="321"/>
        <w:gridCol w:w="109"/>
        <w:gridCol w:w="109"/>
        <w:gridCol w:w="109"/>
        <w:gridCol w:w="323"/>
        <w:gridCol w:w="323"/>
        <w:gridCol w:w="271"/>
        <w:gridCol w:w="109"/>
        <w:gridCol w:w="109"/>
        <w:gridCol w:w="109"/>
        <w:gridCol w:w="368"/>
        <w:gridCol w:w="368"/>
        <w:gridCol w:w="271"/>
        <w:gridCol w:w="109"/>
        <w:gridCol w:w="109"/>
        <w:gridCol w:w="109"/>
        <w:gridCol w:w="368"/>
        <w:gridCol w:w="368"/>
        <w:gridCol w:w="321"/>
        <w:gridCol w:w="109"/>
        <w:gridCol w:w="109"/>
        <w:gridCol w:w="109"/>
        <w:gridCol w:w="368"/>
        <w:gridCol w:w="368"/>
        <w:gridCol w:w="146"/>
        <w:gridCol w:w="109"/>
        <w:gridCol w:w="109"/>
        <w:gridCol w:w="109"/>
        <w:gridCol w:w="323"/>
        <w:gridCol w:w="323"/>
        <w:gridCol w:w="303"/>
        <w:gridCol w:w="109"/>
        <w:gridCol w:w="109"/>
        <w:gridCol w:w="109"/>
        <w:gridCol w:w="294"/>
        <w:gridCol w:w="294"/>
        <w:gridCol w:w="298"/>
        <w:gridCol w:w="109"/>
        <w:gridCol w:w="109"/>
        <w:gridCol w:w="109"/>
        <w:gridCol w:w="275"/>
        <w:gridCol w:w="551"/>
        <w:gridCol w:w="327"/>
        <w:gridCol w:w="901"/>
      </w:tblGrid>
      <w:tr>
        <w:trPr/>
        <w:tc>
          <w:tcPr>
            <w:tcW w:w="8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42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28" w:type="dxa"/>
            <w:gridSpan w:val="6"/>
            <w:tcBorders/>
          </w:tcPr>
          <w:p>
            <w:pPr>
              <w:pStyle w:val="TableContents"/>
              <w:bidi w:val="0"/>
              <w:spacing w:before="0" w:after="283"/>
              <w:jc w:val="left"/>
              <w:rPr>
                <w:sz w:val="4"/>
                <w:szCs w:val="4"/>
              </w:rPr>
            </w:pPr>
            <w:r>
              <w:rPr>
                <w:sz w:val="4"/>
                <w:szCs w:val="4"/>
              </w:rPr>
            </w:r>
          </w:p>
        </w:tc>
      </w:tr>
      <w:tr>
        <w:trPr/>
        <w:tc>
          <w:tcPr>
            <w:tcW w:w="1442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I</w:t>
            </w:r>
          </w:p>
        </w:tc>
      </w:tr>
      <w:tr>
        <w:trPr/>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FREEDOM PLAZA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44,035 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FRESH MEADOWS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75,019 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55,923 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1946-1949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FRIENDSHIP CENTER (District of Columbia)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9/21/2001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GAITHERSBURG SQUARE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33,744 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GARDEN MARKET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GEORGETOWNE SHOPPING CENTER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49,586 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56,033 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1969/2006/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GOVERNOR PLAZA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33,698 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GRAHAM PARK PLAZA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21,031 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GRATIOT PLAZA (Michigan)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GREENLAWN PLAZA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GREENWICH AVENUE (Connecticut)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GROSSMONT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50,311 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53,970 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 1963, 1982-1983,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HASTINGS RANCH PLAZA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1958, 1984, 2006, 2007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HAUPPAUGE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34,223 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HOBOKEN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73,913 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167,835 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179,243 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236,115 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9/18/19, 11/26/19, 12/19/19, 2/12/20, &amp; 11/18/22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101,653 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1962/2022-2024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12/12/88, 10/26/07, &amp; 11/24/15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 SQUARE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39,376 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1980/2004- 2007/2019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8/16/2010 &amp; 1/31/2023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IDYLWOOD PLAZA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KINGSTOWNE TOWNE CENTER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137,466 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140,187 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212,421 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1996/2001/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4/20/22 &amp; 7/27/22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LANCASTER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5316" w:type="dxa"/>
        <w:jc w:val="center"/>
        <w:tblInd w:w="0" w:type="dxa"/>
        <w:tblLayout w:type="fixed"/>
        <w:tblCellMar>
          <w:top w:w="28" w:type="dxa"/>
          <w:left w:w="28" w:type="dxa"/>
          <w:bottom w:w="28" w:type="dxa"/>
          <w:right w:w="28" w:type="dxa"/>
        </w:tblCellMar>
      </w:tblPr>
      <w:tblGrid>
        <w:gridCol w:w="446"/>
        <w:gridCol w:w="367"/>
        <w:gridCol w:w="373"/>
        <w:gridCol w:w="109"/>
        <w:gridCol w:w="109"/>
        <w:gridCol w:w="109"/>
        <w:gridCol w:w="109"/>
        <w:gridCol w:w="109"/>
        <w:gridCol w:w="304"/>
        <w:gridCol w:w="304"/>
        <w:gridCol w:w="308"/>
        <w:gridCol w:w="109"/>
        <w:gridCol w:w="109"/>
        <w:gridCol w:w="109"/>
        <w:gridCol w:w="323"/>
        <w:gridCol w:w="323"/>
        <w:gridCol w:w="271"/>
        <w:gridCol w:w="109"/>
        <w:gridCol w:w="109"/>
        <w:gridCol w:w="109"/>
        <w:gridCol w:w="323"/>
        <w:gridCol w:w="323"/>
        <w:gridCol w:w="321"/>
        <w:gridCol w:w="109"/>
        <w:gridCol w:w="109"/>
        <w:gridCol w:w="109"/>
        <w:gridCol w:w="368"/>
        <w:gridCol w:w="368"/>
        <w:gridCol w:w="271"/>
        <w:gridCol w:w="109"/>
        <w:gridCol w:w="109"/>
        <w:gridCol w:w="109"/>
        <w:gridCol w:w="323"/>
        <w:gridCol w:w="323"/>
        <w:gridCol w:w="271"/>
        <w:gridCol w:w="109"/>
        <w:gridCol w:w="109"/>
        <w:gridCol w:w="109"/>
        <w:gridCol w:w="368"/>
        <w:gridCol w:w="368"/>
        <w:gridCol w:w="321"/>
        <w:gridCol w:w="109"/>
        <w:gridCol w:w="109"/>
        <w:gridCol w:w="109"/>
        <w:gridCol w:w="368"/>
        <w:gridCol w:w="368"/>
        <w:gridCol w:w="146"/>
        <w:gridCol w:w="109"/>
        <w:gridCol w:w="109"/>
        <w:gridCol w:w="109"/>
        <w:gridCol w:w="368"/>
        <w:gridCol w:w="368"/>
        <w:gridCol w:w="303"/>
        <w:gridCol w:w="109"/>
        <w:gridCol w:w="109"/>
        <w:gridCol w:w="109"/>
        <w:gridCol w:w="294"/>
        <w:gridCol w:w="294"/>
        <w:gridCol w:w="298"/>
        <w:gridCol w:w="109"/>
        <w:gridCol w:w="109"/>
        <w:gridCol w:w="109"/>
        <w:gridCol w:w="275"/>
        <w:gridCol w:w="551"/>
        <w:gridCol w:w="327"/>
        <w:gridCol w:w="901"/>
      </w:tblGrid>
      <w:tr>
        <w:trPr/>
        <w:tc>
          <w:tcPr>
            <w:tcW w:w="4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088"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088"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088"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088"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28" w:type="dxa"/>
            <w:gridSpan w:val="6"/>
            <w:tcBorders/>
          </w:tcPr>
          <w:p>
            <w:pPr>
              <w:pStyle w:val="TableContents"/>
              <w:bidi w:val="0"/>
              <w:spacing w:before="0" w:after="283"/>
              <w:jc w:val="left"/>
              <w:rPr>
                <w:sz w:val="4"/>
                <w:szCs w:val="4"/>
              </w:rPr>
            </w:pPr>
            <w:r>
              <w:rPr>
                <w:sz w:val="4"/>
                <w:szCs w:val="4"/>
              </w:rPr>
            </w:r>
          </w:p>
        </w:tc>
      </w:tr>
      <w:tr>
        <w:trPr/>
        <w:tc>
          <w:tcPr>
            <w:tcW w:w="14088"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I</w:t>
            </w:r>
          </w:p>
        </w:tc>
      </w:tr>
      <w:tr>
        <w:trPr/>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LANGHORNE SQUARE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LAUREL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48,584 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8/15/1986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 PARK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60,172 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7/23/1980 &amp; 4/3/17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LINDEN SQUARE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80,976 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MELVILLE MALL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32,882 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73,391 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33,580 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MERCER ON ONE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107,649 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51,570 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10/14/03, 1/31/17, &amp; 10/12/2023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MONTROSE CROSSING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91,819 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123,479 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1960s, 1970s, 1996 &amp;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12/27/11 &amp; 12/19/13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 VERNON/SOUTH VALLEY/7770 RICHMOND HWY.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83,531 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56,892 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1966/1972/ 1987/2001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3/31/03, 3/21/03, 1/27/06 &amp; 1/4/21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DARTMOUTH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NORTHEAST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OLD KEENE MILL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6/15/1976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OLD TOWN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28,992 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 1997-1998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OLIVO AT MISSION HILLS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67,859 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PERRING PLAZA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40,629 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PIKE &amp; ROSE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762,658 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767,205 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142,373 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2012-2025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5/18/82, 10/26/07, &amp; 7/31/12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PIKE 7 PLAZA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42,133 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3/31/97 &amp; 7/8/15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PINOLE VISTA CROSSING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PLAZA DEL MERCADO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36,916 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PLAZA DEL SOL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6014" w:type="dxa"/>
        <w:jc w:val="center"/>
        <w:tblInd w:w="0" w:type="dxa"/>
        <w:tblLayout w:type="fixed"/>
        <w:tblCellMar>
          <w:top w:w="28" w:type="dxa"/>
          <w:left w:w="28" w:type="dxa"/>
          <w:bottom w:w="28" w:type="dxa"/>
          <w:right w:w="28" w:type="dxa"/>
        </w:tblCellMar>
      </w:tblPr>
      <w:tblGrid>
        <w:gridCol w:w="646"/>
        <w:gridCol w:w="305"/>
        <w:gridCol w:w="310"/>
        <w:gridCol w:w="109"/>
        <w:gridCol w:w="109"/>
        <w:gridCol w:w="109"/>
        <w:gridCol w:w="109"/>
        <w:gridCol w:w="109"/>
        <w:gridCol w:w="368"/>
        <w:gridCol w:w="368"/>
        <w:gridCol w:w="308"/>
        <w:gridCol w:w="109"/>
        <w:gridCol w:w="109"/>
        <w:gridCol w:w="109"/>
        <w:gridCol w:w="323"/>
        <w:gridCol w:w="323"/>
        <w:gridCol w:w="271"/>
        <w:gridCol w:w="109"/>
        <w:gridCol w:w="109"/>
        <w:gridCol w:w="109"/>
        <w:gridCol w:w="368"/>
        <w:gridCol w:w="368"/>
        <w:gridCol w:w="321"/>
        <w:gridCol w:w="109"/>
        <w:gridCol w:w="109"/>
        <w:gridCol w:w="109"/>
        <w:gridCol w:w="435"/>
        <w:gridCol w:w="436"/>
        <w:gridCol w:w="271"/>
        <w:gridCol w:w="109"/>
        <w:gridCol w:w="109"/>
        <w:gridCol w:w="109"/>
        <w:gridCol w:w="323"/>
        <w:gridCol w:w="323"/>
        <w:gridCol w:w="271"/>
        <w:gridCol w:w="109"/>
        <w:gridCol w:w="109"/>
        <w:gridCol w:w="109"/>
        <w:gridCol w:w="435"/>
        <w:gridCol w:w="436"/>
        <w:gridCol w:w="321"/>
        <w:gridCol w:w="109"/>
        <w:gridCol w:w="109"/>
        <w:gridCol w:w="109"/>
        <w:gridCol w:w="435"/>
        <w:gridCol w:w="436"/>
        <w:gridCol w:w="146"/>
        <w:gridCol w:w="109"/>
        <w:gridCol w:w="109"/>
        <w:gridCol w:w="109"/>
        <w:gridCol w:w="368"/>
        <w:gridCol w:w="368"/>
        <w:gridCol w:w="303"/>
        <w:gridCol w:w="109"/>
        <w:gridCol w:w="109"/>
        <w:gridCol w:w="109"/>
        <w:gridCol w:w="294"/>
        <w:gridCol w:w="294"/>
        <w:gridCol w:w="298"/>
        <w:gridCol w:w="109"/>
        <w:gridCol w:w="109"/>
        <w:gridCol w:w="109"/>
        <w:gridCol w:w="275"/>
        <w:gridCol w:w="551"/>
        <w:gridCol w:w="327"/>
        <w:gridCol w:w="901"/>
      </w:tblGrid>
      <w:tr>
        <w:trPr/>
        <w:tc>
          <w:tcPr>
            <w:tcW w:w="6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78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8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8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8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28" w:type="dxa"/>
            <w:gridSpan w:val="6"/>
            <w:tcBorders/>
          </w:tcPr>
          <w:p>
            <w:pPr>
              <w:pStyle w:val="TableContents"/>
              <w:bidi w:val="0"/>
              <w:spacing w:before="0" w:after="283"/>
              <w:jc w:val="left"/>
              <w:rPr>
                <w:sz w:val="4"/>
                <w:szCs w:val="4"/>
              </w:rPr>
            </w:pPr>
            <w:r>
              <w:rPr>
                <w:sz w:val="4"/>
                <w:szCs w:val="4"/>
              </w:rPr>
            </w:r>
          </w:p>
        </w:tc>
      </w:tr>
      <w:tr>
        <w:trPr/>
        <w:tc>
          <w:tcPr>
            <w:tcW w:w="14786"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I</w:t>
            </w:r>
          </w:p>
        </w:tc>
      </w:tr>
      <w:tr>
        <w:trPr/>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PLAZA EL SEGUNDO/THE POINT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124,891 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153,556 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246,806 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311,269 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100,720 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2006/2007/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12/30/11, 6/14/13, 7/26/13, &amp; 12/27/13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PROVIDENCE PLACE (formerly Pan Am)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QUEEN ANNE PLAZA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QUINCE ORCHARD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RIVERPOINT CENTER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107,658 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29,406 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ANTONIO CENTER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26,018 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 1964-1965, 1974-1975, 1995-1997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1/9/2015, 9/13/19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1,315,096 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1,331,688 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1,388,528 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364,278 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1999-2006, 2009, 2014, 2016-2025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3/5/97, 7/13/12, 9/6/12, 4/30/13 &amp; 9/23/13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SHOPS AT PEMBROKE GARDENS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141,356 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151,240 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SYLMAR TOWNE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30,464 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AVENUE AT WHITE MARSH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72,432 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117,520 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GROVE AT SHREWSBURY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43,461 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103,115 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43,997 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1988/1993/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1/1/2014 &amp; 10/6/14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SHOPPES AT NOTTINGHAM SQUARE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2005 - 2006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SHOPS AT HILTON VILLAGE (Arizona)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85,431 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88,264 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6/14/21 &amp; 7/18/22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TOWER SHOPPING CENTER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1953-1960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TOWER SHOPS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76,416 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1/19/11 &amp; 6/13/14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TOWN CENTER CROSSING/TOWN CENTER PLAZA (Kansas)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232,083 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233,523 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264,884 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 2005-2008, 2014,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tbl>
      <w:tblPr>
        <w:tblW w:w="17037" w:type="dxa"/>
        <w:jc w:val="center"/>
        <w:tblInd w:w="0" w:type="dxa"/>
        <w:tblLayout w:type="fixed"/>
        <w:tblCellMar>
          <w:top w:w="28" w:type="dxa"/>
          <w:left w:w="28" w:type="dxa"/>
          <w:bottom w:w="28" w:type="dxa"/>
          <w:right w:w="28" w:type="dxa"/>
        </w:tblCellMar>
      </w:tblPr>
      <w:tblGrid>
        <w:gridCol w:w="689"/>
        <w:gridCol w:w="277"/>
        <w:gridCol w:w="280"/>
        <w:gridCol w:w="109"/>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871"/>
        <w:gridCol w:w="109"/>
        <w:gridCol w:w="109"/>
        <w:gridCol w:w="109"/>
        <w:gridCol w:w="109"/>
        <w:gridCol w:w="294"/>
        <w:gridCol w:w="294"/>
        <w:gridCol w:w="298"/>
        <w:gridCol w:w="109"/>
        <w:gridCol w:w="109"/>
        <w:gridCol w:w="109"/>
        <w:gridCol w:w="275"/>
        <w:gridCol w:w="551"/>
        <w:gridCol w:w="327"/>
        <w:gridCol w:w="901"/>
      </w:tblGrid>
      <w:tr>
        <w:trPr/>
        <w:tc>
          <w:tcPr>
            <w:tcW w:w="6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809"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tc>
        <w:tc>
          <w:tcPr>
            <w:tcW w:w="1228" w:type="dxa"/>
            <w:gridSpan w:val="6"/>
            <w:tcBorders/>
          </w:tcPr>
          <w:p>
            <w:pPr>
              <w:pStyle w:val="TableContents"/>
              <w:bidi w:val="0"/>
              <w:spacing w:before="0" w:after="283"/>
              <w:jc w:val="left"/>
              <w:rPr>
                <w:sz w:val="4"/>
                <w:szCs w:val="4"/>
              </w:rPr>
            </w:pPr>
            <w:r>
              <w:rPr>
                <w:sz w:val="4"/>
                <w:szCs w:val="4"/>
              </w:rPr>
            </w:r>
          </w:p>
        </w:tc>
      </w:tr>
      <w:tr>
        <w:trPr/>
        <w:tc>
          <w:tcPr>
            <w:tcW w:w="15809"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III</w:t>
            </w:r>
          </w:p>
        </w:tc>
        <w:tc>
          <w:tcPr>
            <w:tcW w:w="1228" w:type="dxa"/>
            <w:gridSpan w:val="6"/>
            <w:tcBorders/>
          </w:tcPr>
          <w:p>
            <w:pPr>
              <w:pStyle w:val="TableContents"/>
              <w:bidi w:val="0"/>
              <w:spacing w:before="0" w:after="283"/>
              <w:jc w:val="left"/>
              <w:rPr>
                <w:sz w:val="4"/>
                <w:szCs w:val="4"/>
              </w:rPr>
            </w:pPr>
            <w:r>
              <w:rPr>
                <w:sz w:val="4"/>
                <w:szCs w:val="4"/>
              </w:rPr>
            </w:r>
          </w:p>
        </w:tc>
      </w:tr>
      <w:tr>
        <w:trPr/>
        <w:tc>
          <w:tcPr>
            <w:tcW w:w="15809"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SUMMARY OF REAL ESTATE AND ACCUMULATED DEPRECIATION</w:t>
            </w:r>
          </w:p>
        </w:tc>
        <w:tc>
          <w:tcPr>
            <w:tcW w:w="1228" w:type="dxa"/>
            <w:gridSpan w:val="6"/>
            <w:tcBorders/>
          </w:tcPr>
          <w:p>
            <w:pPr>
              <w:pStyle w:val="TableContents"/>
              <w:bidi w:val="0"/>
              <w:spacing w:before="0" w:after="283"/>
              <w:jc w:val="left"/>
              <w:rPr>
                <w:sz w:val="4"/>
                <w:szCs w:val="4"/>
              </w:rPr>
            </w:pPr>
            <w:r>
              <w:rPr>
                <w:sz w:val="4"/>
                <w:szCs w:val="4"/>
              </w:rPr>
            </w:r>
          </w:p>
        </w:tc>
      </w:tr>
      <w:tr>
        <w:trPr/>
        <w:tc>
          <w:tcPr>
            <w:tcW w:w="15809"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28" w:type="dxa"/>
            <w:gridSpan w:val="6"/>
            <w:tcBorders/>
          </w:tcPr>
          <w:p>
            <w:pPr>
              <w:pStyle w:val="TableContents"/>
              <w:bidi w:val="0"/>
              <w:spacing w:before="0" w:after="283"/>
              <w:jc w:val="left"/>
              <w:rPr>
                <w:sz w:val="4"/>
                <w:szCs w:val="4"/>
              </w:rPr>
            </w:pPr>
            <w:r>
              <w:rPr>
                <w:sz w:val="4"/>
                <w:szCs w:val="4"/>
              </w:rPr>
            </w:r>
          </w:p>
        </w:tc>
      </w:tr>
      <w:tr>
        <w:trPr/>
        <w:tc>
          <w:tcPr>
            <w:tcW w:w="15809" w:type="dxa"/>
            <w:gridSpan w:val="6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2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COLUMN I</w:t>
            </w:r>
          </w:p>
        </w:tc>
      </w:tr>
      <w:tr>
        <w:trPr/>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amount at which carried at</w:t>
              <w:br/>
              <w:t>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Encumbrance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Capitalized</w:t>
              <w:br/>
              <w:t>Subsequent</w:t>
              <w:br/>
              <w:t>to</w:t>
              <w:b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Building and</w:t>
              <w:br/>
              <w:t>Improvements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Depreciation</w:t>
              <w:br/>
              <w:t>and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of</w:t>
              <w:b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Date</w:t>
              <w:b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Life on  which</w:t>
              <w:br/>
              <w:t>depreciation</w:t>
              <w:br/>
              <w:t>in latest</w:t>
              <w:br/>
              <w:t>income</w:t>
              <w:br/>
              <w:t>statements is</w:t>
              <w:br/>
              <w:t>computed</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TROY HILLS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TWINBROOKE CENTRE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TYSON'S STATION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VILLAGE AT SHIRLINGTON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 2006-2009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VILLAGE POINTE (Nebraska)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VIRGINIA GATEWAY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2006-2008, 2013-2016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WESTGATE CENTER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1960-1966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WESTPOST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1999 - 2002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&amp; 11/22/10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WHITE MARSH PLAZA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WHITE MARSH OTHER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WILDWOOD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11/20/1984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LAWN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WYNNEWOOD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5,856,205 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9,717,650 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11,639,902 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(1)Depreciation of building and improvements is calculated based on useful lives ranging from the life of the lease to 50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OF REAL ESTATE AND ACCUMULATED DEPRECIATION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Years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Total Cost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6996" w:type="dxa"/>
        <w:jc w:val="center"/>
        <w:tblInd w:w="0" w:type="dxa"/>
        <w:tblLayout w:type="fixed"/>
        <w:tblCellMar>
          <w:top w:w="28" w:type="dxa"/>
          <w:left w:w="28" w:type="dxa"/>
          <w:bottom w:w="28" w:type="dxa"/>
          <w:right w:w="28" w:type="dxa"/>
        </w:tblCellMar>
      </w:tblPr>
      <w:tblGrid>
        <w:gridCol w:w="2010"/>
        <w:gridCol w:w="1767"/>
        <w:gridCol w:w="1773"/>
        <w:gridCol w:w="211"/>
        <w:gridCol w:w="1081"/>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during period</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Improvements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Reconsolidation of VIE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during period—dispositions and retirements of property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during period</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Improvements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during period—dispositions and retirements of property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during period</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Acquisitions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Improvements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during period</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Dispositions and retirements of property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 (1)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(1)For Federal tax purposes, the aggregate cost basis is approximately $10.2 billion as of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OF REAL ESTATE AND ACCUMULATED DEPRECIATION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Years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Accumulated Depreciation and Amortization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6875" w:type="dxa"/>
        <w:jc w:val="center"/>
        <w:tblInd w:w="0" w:type="dxa"/>
        <w:tblLayout w:type="fixed"/>
        <w:tblCellMar>
          <w:top w:w="28" w:type="dxa"/>
          <w:left w:w="28" w:type="dxa"/>
          <w:bottom w:w="28" w:type="dxa"/>
          <w:right w:w="28" w:type="dxa"/>
        </w:tblCellMar>
      </w:tblPr>
      <w:tblGrid>
        <w:gridCol w:w="2005"/>
        <w:gridCol w:w="1761"/>
        <w:gridCol w:w="1768"/>
        <w:gridCol w:w="211"/>
        <w:gridCol w:w="976"/>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during period</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Reconsolidation of VIE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during period -dispositions and retirements of property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during period-depreciation and amortization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during period -dispositions and retirements of property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during period -dispositions and retirements of property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3,351,881 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IV</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MORTGAGE LOANS ON REAL ESTATE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 Ended December 31,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3256" w:type="dxa"/>
        <w:jc w:val="left"/>
        <w:tblInd w:w="0" w:type="dxa"/>
        <w:tblLayout w:type="fixed"/>
        <w:tblCellMar>
          <w:top w:w="28" w:type="dxa"/>
          <w:left w:w="28" w:type="dxa"/>
          <w:bottom w:w="28" w:type="dxa"/>
          <w:right w:w="28" w:type="dxa"/>
        </w:tblCellMar>
      </w:tblPr>
      <w:tblGrid>
        <w:gridCol w:w="543"/>
        <w:gridCol w:w="477"/>
        <w:gridCol w:w="481"/>
        <w:gridCol w:w="109"/>
        <w:gridCol w:w="109"/>
        <w:gridCol w:w="109"/>
        <w:gridCol w:w="349"/>
        <w:gridCol w:w="349"/>
        <w:gridCol w:w="353"/>
        <w:gridCol w:w="109"/>
        <w:gridCol w:w="109"/>
        <w:gridCol w:w="109"/>
        <w:gridCol w:w="384"/>
        <w:gridCol w:w="384"/>
        <w:gridCol w:w="388"/>
        <w:gridCol w:w="109"/>
        <w:gridCol w:w="109"/>
        <w:gridCol w:w="109"/>
        <w:gridCol w:w="464"/>
        <w:gridCol w:w="464"/>
        <w:gridCol w:w="468"/>
        <w:gridCol w:w="109"/>
        <w:gridCol w:w="109"/>
        <w:gridCol w:w="109"/>
        <w:gridCol w:w="196"/>
        <w:gridCol w:w="646"/>
        <w:gridCol w:w="109"/>
        <w:gridCol w:w="109"/>
        <w:gridCol w:w="109"/>
        <w:gridCol w:w="109"/>
        <w:gridCol w:w="109"/>
        <w:gridCol w:w="109"/>
        <w:gridCol w:w="109"/>
        <w:gridCol w:w="109"/>
        <w:gridCol w:w="109"/>
        <w:gridCol w:w="109"/>
        <w:gridCol w:w="196"/>
        <w:gridCol w:w="556"/>
        <w:gridCol w:w="109"/>
        <w:gridCol w:w="109"/>
        <w:gridCol w:w="109"/>
        <w:gridCol w:w="109"/>
        <w:gridCol w:w="109"/>
        <w:gridCol w:w="109"/>
        <w:gridCol w:w="109"/>
        <w:gridCol w:w="109"/>
        <w:gridCol w:w="109"/>
        <w:gridCol w:w="109"/>
        <w:gridCol w:w="196"/>
        <w:gridCol w:w="556"/>
        <w:gridCol w:w="109"/>
        <w:gridCol w:w="109"/>
        <w:gridCol w:w="109"/>
        <w:gridCol w:w="109"/>
        <w:gridCol w:w="109"/>
        <w:gridCol w:w="109"/>
        <w:gridCol w:w="109"/>
        <w:gridCol w:w="109"/>
        <w:gridCol w:w="109"/>
        <w:gridCol w:w="109"/>
        <w:gridCol w:w="248"/>
        <w:gridCol w:w="478"/>
        <w:gridCol w:w="130"/>
        <w:gridCol w:w="372"/>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Lien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Periodic Payment</w:t>
              <w:br/>
              <w:t>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br/>
              <w:t>Liens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Amount</w:t>
              <w:br/>
              <w:t>of Mortgages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br/>
              <w:t>of Mortgages(1)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br/>
              <w:t>Amount</w:t>
              <w:br/>
              <w:t>of Loans</w:t>
              <w:br/>
              <w:t>Subject to</w:t>
              <w:br/>
              <w:t>delinquent</w:t>
              <w:br/>
              <w:t>Principal</w:t>
              <w:br/>
              <w:t>or Interest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mortgage on a retail shopping center in Rockville, MD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only monthly;</w:t>
              <w:br/>
              <w:t>balloon payment due</w:t>
              <w:br/>
              <w:t>at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mortgage on a retail shopping center in Rockville, MD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only monthly;</w:t>
              <w:br/>
              <w:t>balloon payment due</w:t>
              <w:br/>
              <w:t>at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mortgage on a retail shopping center in Baltimore,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and interest monthly; balloon payment due at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(1)The amounts are net of any expected losses in accordance with ASU 2016-13. See note 2 to the consolidated financial statements. For Federal tax purposes, the aggregate tax basis is approximately $10.0 million as of December 31, 2025.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(2)The borrower on the noted mortgage notes receivable is in default. However, we believe the fair value of the property supports the $9.1 million carrying value of our notes.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(3)These mortgages are both subordinate to a first mortgage of $58.8 million in total. We do not hold the first mortgage loan on this property. Accordingly, the amount of the prior lien at December 31, 2025 is estimated.</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(4)This mortgage is subordinate to a first mortgage of $5.0 million. We do not hold the first mortgage loan on this property. Accordingly, the amount of the prior lien at December 31, 2025 is estimated.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5132e083c0594d729405270ebbf0218e_109">
        <w:r>
          <w:rPr>
            <w:rStyle w:val="InternetLink"/>
            <w:rFonts w:ascii="Times New Roman;serif" w:hAnsi="Times New Roman;serif"/>
            <w:b/>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IV</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MORTGAGE LOANS ON REAL ESTATE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Years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Carrying Amount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3980" w:type="dxa"/>
        <w:jc w:val="center"/>
        <w:tblInd w:w="0" w:type="dxa"/>
        <w:tblLayout w:type="fixed"/>
        <w:tblCellMar>
          <w:top w:w="28" w:type="dxa"/>
          <w:left w:w="28" w:type="dxa"/>
          <w:bottom w:w="28" w:type="dxa"/>
          <w:right w:w="28" w:type="dxa"/>
        </w:tblCellMar>
      </w:tblPr>
      <w:tblGrid>
        <w:gridCol w:w="1086"/>
        <w:gridCol w:w="955"/>
        <w:gridCol w:w="958"/>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during period: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and satisfaction of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during period: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and satisfaction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during period: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and satisfaction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 xml:space="preserve">Exhibit 21.1 </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SUBSIDIARIES OF FEDERAL REALTY INVESTMENT TRUST AND FEDERAL REALTY OP LP </w:t>
      </w:r>
    </w:p>
    <w:p>
      <w:pPr>
        <w:pStyle w:val="TextBody"/>
        <w:bidi w:val="0"/>
        <w:spacing w:lineRule="auto" w:line="288" w:before="0" w:after="0"/>
        <w:jc w:val="left"/>
        <w:rPr>
          <w:color w:val="000000"/>
        </w:rPr>
      </w:pPr>
      <w:r>
        <w:rPr>
          <w:color w:val="000000"/>
        </w:rPr>
        <w:t> </w:t>
      </w:r>
    </w:p>
    <w:tbl>
      <w:tblPr>
        <w:tblW w:w="9342" w:type="dxa"/>
        <w:jc w:val="center"/>
        <w:tblInd w:w="0" w:type="dxa"/>
        <w:tblLayout w:type="fixed"/>
        <w:tblCellMar>
          <w:top w:w="28" w:type="dxa"/>
          <w:left w:w="28" w:type="dxa"/>
          <w:bottom w:w="28" w:type="dxa"/>
          <w:right w:w="28" w:type="dxa"/>
        </w:tblCellMar>
      </w:tblPr>
      <w:tblGrid>
        <w:gridCol w:w="1659"/>
        <w:gridCol w:w="1455"/>
        <w:gridCol w:w="1461"/>
        <w:gridCol w:w="109"/>
        <w:gridCol w:w="109"/>
        <w:gridCol w:w="109"/>
        <w:gridCol w:w="1300"/>
        <w:gridCol w:w="1300"/>
        <w:gridCol w:w="1840"/>
      </w:tblGrid>
      <w:tr>
        <w:trPr/>
        <w:tc>
          <w:tcPr>
            <w:tcW w:w="165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SUBSIDIARY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 OR ORGANIZATION</w:t>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Realty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Associates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Andorra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Governor Plaza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Shopping Center Associates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Berman Enterprises II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FRIT Leasing &amp; Development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Congressional Plaza Associates,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Pike 7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Realty Partners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Realty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Realty Management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FRIT Solar,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Santana Row ROF,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Mercer Mall,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Mercer Mall Fee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Westgate Mall,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Assembly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Crow Canyon,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Linden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Chelsea Commons Member,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Chelsea Commons 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White Marsh,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NVI-Avenue,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Shoppers World,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FRIT Florida,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Montrose Crossing,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FRIT CA Operations,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Huntington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Huntington Square Fee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Darien,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Georgetowne,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Hastings Ranch,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Riverpoint,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Street Retail,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SRI/CM 4th Street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 Old Town,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Street Retail West 6,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Street Retail West 7,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FRIT San Jose Town and Country Village,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Santana Row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Rosecrans-Sepulveda Partners 3,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PES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Grove Fee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Route 35 Shrewsbury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Jersey</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Shrewsbury Commons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Washington</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Sea Girt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Washington</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35 West,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Washington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877" w:type="dxa"/>
        <w:jc w:val="center"/>
        <w:tblInd w:w="0" w:type="dxa"/>
        <w:tblLayout w:type="fixed"/>
        <w:tblCellMar>
          <w:top w:w="28" w:type="dxa"/>
          <w:left w:w="28" w:type="dxa"/>
          <w:bottom w:w="28" w:type="dxa"/>
          <w:right w:w="28" w:type="dxa"/>
        </w:tblCellMar>
      </w:tblPr>
      <w:tblGrid>
        <w:gridCol w:w="1490"/>
        <w:gridCol w:w="1308"/>
        <w:gridCol w:w="1312"/>
        <w:gridCol w:w="109"/>
        <w:gridCol w:w="109"/>
        <w:gridCol w:w="109"/>
        <w:gridCol w:w="1300"/>
        <w:gridCol w:w="1300"/>
        <w:gridCol w:w="1840"/>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SUBSIDIARY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 OR ORGANIZATION</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Merritt Shrewsbury Commons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Washington</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Cole Grove West,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Washington</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508 Broad,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San Antonio Center,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Pike &amp; Rose Condominium,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PNR Hotel XXVI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PNR Hotel XXVI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PNR Hotel XXVI Operator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 Winchester,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Assembly Row Condominium,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 Assembly Row Hotel,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Assembly Hotel Operator,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Assembly Row Hotel,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FRIT Cocowalk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3112 Commodore Plaza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Florida</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3131 Commodore Plaza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Florida</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3206 Grand Avenue,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3406 Main Highway,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FLV Campus Plaza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FLV Campus Plaza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FLV Plaza del Mercado,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FLV Plaza del Mercado,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FLV Greenlawn Plaza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FLV Greenlawn Plaza,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FLV Barcroft Plaza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FLV Barcroft Plaza,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Primestor/FRIT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Azalea Joint Venture,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Alameda,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Bell Gardens,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El Monte,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El Portal,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Los Jardines,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Mission Hills,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SCP,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Sylmar,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TRS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Prime/FRIT Olivo Land,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Primestor/FRIT Jordan Downs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Primestor Jordan Downs,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Primestor Development Investment,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Fairfax Junction.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 UNLMTD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SRI-WSA Properties 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SRI-WSA Properties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SRI-WSA 214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SRI-WSA 301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SRI-WSA 302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SRI-WSA 600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SRI-WSA 210 14</w:t>
            </w:r>
            <w:r>
              <w:rPr>
                <w:rFonts w:ascii="Times New Roman;serif" w:hAnsi="Times New Roman;serif"/>
                <w:b w:val="false"/>
                <w:color w:val="000000"/>
                <w:sz w:val="14"/>
              </w:rPr>
              <w:t>th</w:t>
            </w:r>
            <w:r>
              <w:rPr>
                <w:rFonts w:ascii="Times New Roman;serif" w:hAnsi="Times New Roman;serif"/>
                <w:b w:val="false"/>
                <w:color w:val="000000"/>
                <w:sz w:val="22"/>
              </w:rPr>
              <w: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SRI-WSA 158 14</w:t>
            </w:r>
            <w:r>
              <w:rPr>
                <w:rFonts w:ascii="Times New Roman;serif" w:hAnsi="Times New Roman;serif"/>
                <w:b w:val="false"/>
                <w:color w:val="000000"/>
                <w:sz w:val="14"/>
              </w:rPr>
              <w:t>th</w:t>
            </w:r>
            <w:r>
              <w:rPr>
                <w:rFonts w:ascii="Times New Roman;serif" w:hAnsi="Times New Roman;serif"/>
                <w:b w:val="false"/>
                <w:color w:val="000000"/>
                <w:sz w:val="22"/>
              </w:rPr>
              <w: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SRI-WSA 1426 Willow,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977" w:type="dxa"/>
        <w:jc w:val="center"/>
        <w:tblInd w:w="0" w:type="dxa"/>
        <w:tblLayout w:type="fixed"/>
        <w:tblCellMar>
          <w:top w:w="28" w:type="dxa"/>
          <w:left w:w="28" w:type="dxa"/>
          <w:bottom w:w="28" w:type="dxa"/>
          <w:right w:w="28" w:type="dxa"/>
        </w:tblCellMar>
      </w:tblPr>
      <w:tblGrid>
        <w:gridCol w:w="1164"/>
        <w:gridCol w:w="1021"/>
        <w:gridCol w:w="1025"/>
        <w:gridCol w:w="109"/>
        <w:gridCol w:w="109"/>
        <w:gridCol w:w="109"/>
        <w:gridCol w:w="1300"/>
        <w:gridCol w:w="1300"/>
        <w:gridCol w:w="1840"/>
      </w:tblGrid>
      <w:tr>
        <w:trPr/>
        <w:tc>
          <w:tcPr>
            <w:tcW w:w="11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SUBSIDIARY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 OR ORGANIZATION</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Chesterbrook JV,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Grossmont,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Hilton Village,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Camelback Colonnade,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Scottsdale Forum,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Pembroke Gardens,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Chandler Festival,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SanTan Festival,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Arizona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Chandler Festival SPE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Chandler Gateway,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Chandler Gateway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Arizona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Chandler Gateway SPE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Assembly Row,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Bethesda Row,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Del Monte,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Town Center Crossing,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 Town Center,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23.1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issued our reports dated February 12, 2026, with respect to the consolidated financial statements, schedules, and internal control over financial reporting included in the Annual Report of Federal Realty Investment Trust and Federal Realty OP LP on Form 10-K for the year ended December 31, 2025. We consent to the incorporation by reference of said reports in the Registration Statements of Federal Realty Investment Trust and Federal Realty OP LP on Form S-3 (File No. 333-277767, File No. 333-277767-01, and File No. 333-277768) and on Form S-8 (File No. 333-239351 and File No. 333-147081). </w: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lineRule="auto" w:line="288" w:before="180" w:after="283"/>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Jacksonville, Florida</w:t>
      </w:r>
    </w:p>
    <w:p>
      <w:pPr>
        <w:pStyle w:val="TextBody"/>
        <w:bidi w:val="0"/>
        <w:spacing w:lineRule="auto" w:line="288"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February 12,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Donald C. Wood, certify that: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Federal Realty Investment Trust;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11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928"/>
        <w:gridCol w:w="928"/>
        <w:gridCol w:w="132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Daniel Guglielmone</w:t>
      </w:r>
      <w:r>
        <w:rPr>
          <w:rFonts w:ascii="Times New Roman;serif" w:hAnsi="Times New Roman;serif"/>
          <w:b w:val="false"/>
          <w:color w:val="000000"/>
          <w:sz w:val="20"/>
        </w:rPr>
        <w:t>, certify that:</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Federal Realty Investment Trust;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86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1149"/>
        <w:gridCol w:w="1149"/>
        <w:gridCol w:w="1631"/>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Donald C. Wood, certify that: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Federal Realty OP LP;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11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928"/>
        <w:gridCol w:w="928"/>
        <w:gridCol w:w="132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Daniel Guglielmone</w:t>
      </w:r>
      <w:r>
        <w:rPr>
          <w:rFonts w:ascii="Times New Roman;serif" w:hAnsi="Times New Roman;serif"/>
          <w:b w:val="false"/>
          <w:color w:val="000000"/>
          <w:sz w:val="20"/>
        </w:rPr>
        <w:t>, certify that:</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Federal Realty OP LP;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86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1149"/>
        <w:gridCol w:w="1149"/>
        <w:gridCol w:w="1631"/>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2024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11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928"/>
        <w:gridCol w:w="928"/>
        <w:gridCol w:w="132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2024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86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1149"/>
        <w:gridCol w:w="1149"/>
        <w:gridCol w:w="163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Annual Report on Form 10-K for the period ended December 31, 2024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11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928"/>
        <w:gridCol w:w="928"/>
        <w:gridCol w:w="132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Annual Report on Form 10-K for the period ended December 31, 2024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860"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1149"/>
        <w:gridCol w:w="1149"/>
        <w:gridCol w:w="1631"/>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4903/000003490321000080/frt-12022021exhibit21.htm" TargetMode="External"/><Relationship Id="rId4" Type="http://schemas.openxmlformats.org/officeDocument/2006/relationships/hyperlink" Target="https://www.sec.gov/Archives/edgar/data/34903/000003490323000054/frt-06302023xex31.htm" TargetMode="External"/><Relationship Id="rId5" Type="http://schemas.openxmlformats.org/officeDocument/2006/relationships/hyperlink" Target="https://www.sec.gov/Archives/edgar/data/34903/000003490323000044/frt-3312023ex31.htm" TargetMode="External"/><Relationship Id="rId6" Type="http://schemas.openxmlformats.org/officeDocument/2006/relationships/hyperlink" Target="https://www.sec.gov/Archives/edgar/data/0000034903/000119312522000302/d231372dex34.htm" TargetMode="External"/><Relationship Id="rId7" Type="http://schemas.openxmlformats.org/officeDocument/2006/relationships/hyperlink" Target="https://www.sec.gov/Archives/edgar/data/34903/000119312522002748/d275243dex31.htm" TargetMode="External"/><Relationship Id="rId8" Type="http://schemas.openxmlformats.org/officeDocument/2006/relationships/hyperlink" Target="https://www.sec.gov/Archives/edgar/data/34903/000119312522002748/d275243dex32.htm" TargetMode="External"/><Relationship Id="rId9" Type="http://schemas.openxmlformats.org/officeDocument/2006/relationships/hyperlink" Target="https://www.sec.gov/Archives/edgar/data/34903/000095010900001048/0000950109-00-001048.txt" TargetMode="External"/><Relationship Id="rId10" Type="http://schemas.openxmlformats.org/officeDocument/2006/relationships/hyperlink" Target="https://www.sec.gov/Archives/edgar/data/34903/0000950109-98-004542.txt" TargetMode="External"/><Relationship Id="rId11" Type="http://schemas.openxmlformats.org/officeDocument/2006/relationships/hyperlink" Target="https://www.sec.gov/Archives/edgar/data/34903/000119312522002748/d275243dex41.htm" TargetMode="External"/><Relationship Id="rId12" Type="http://schemas.openxmlformats.org/officeDocument/2006/relationships/hyperlink" Target="https://www.sec.gov/Archives/edgar/data/34903/000119312522002748/d275243dex42.htm" TargetMode="External"/><Relationship Id="rId13" Type="http://schemas.openxmlformats.org/officeDocument/2006/relationships/hyperlink" Target="https://www.sec.gov/Archives/edgar/data/34903/000119312517299279/d453589dex41.htm" TargetMode="External"/><Relationship Id="rId14" Type="http://schemas.openxmlformats.org/officeDocument/2006/relationships/hyperlink" Target="https://www.sec.gov/Archives/edgar/data/34903/000119312517299279/d453589dex43.htm" TargetMode="External"/><Relationship Id="rId15" Type="http://schemas.openxmlformats.org/officeDocument/2006/relationships/hyperlink" Target="https://www.sec.gov/Archives/edgar/data/34903/000119312524006607/d712379dex41.htm" TargetMode="External"/><Relationship Id="rId16" Type="http://schemas.openxmlformats.org/officeDocument/2006/relationships/hyperlink" Target="https://www.sec.gov/Archives/edgar/data/34903/000003490324000032/frt-12312023xex49.htm" TargetMode="External"/><Relationship Id="rId17" Type="http://schemas.openxmlformats.org/officeDocument/2006/relationships/hyperlink" Target="https://www.sec.gov/Archives/edgar/data/34903/0000928385-99-001432.txt" TargetMode="External"/><Relationship Id="rId18" Type="http://schemas.openxmlformats.org/officeDocument/2006/relationships/hyperlink" Target="https://www.sec.gov/Archives/edgar/data/34903/0000928385-99-001432.txt" TargetMode="External"/><Relationship Id="rId19" Type="http://schemas.openxmlformats.org/officeDocument/2006/relationships/hyperlink" Target="https://www.sec.gov/Archives/edgar/data/34903/000119312505043736/dex1012.htm" TargetMode="External"/><Relationship Id="rId20" Type="http://schemas.openxmlformats.org/officeDocument/2006/relationships/hyperlink" Target="https://www.sec.gov/Archives/edgar/data/34903/000119312505043736/dex1026.htm" TargetMode="External"/><Relationship Id="rId21" Type="http://schemas.openxmlformats.org/officeDocument/2006/relationships/hyperlink" Target="https://www.sec.gov/Archives/edgar/data/34903/000119312505151516/dex1026.htm" TargetMode="External"/><Relationship Id="rId22" Type="http://schemas.openxmlformats.org/officeDocument/2006/relationships/hyperlink" Target="https://www.sec.gov/Archives/edgar/data/34903/000119312505043736/dex1027.htm" TargetMode="External"/><Relationship Id="rId23" Type="http://schemas.openxmlformats.org/officeDocument/2006/relationships/hyperlink" Target="https://www.sec.gov/Archives/edgar/data/34903/000119312511036800/dex1035.htm" TargetMode="External"/><Relationship Id="rId24" Type="http://schemas.openxmlformats.org/officeDocument/2006/relationships/hyperlink" Target="https://www.sec.gov/Archives/edgar/data/34903/000119312509038641/dex1026.htm" TargetMode="External"/><Relationship Id="rId25" Type="http://schemas.openxmlformats.org/officeDocument/2006/relationships/hyperlink" Target="https://www.sec.gov/Archives/edgar/data/34903/000119312509038641/dex1027.htm" TargetMode="External"/><Relationship Id="rId26" Type="http://schemas.openxmlformats.org/officeDocument/2006/relationships/hyperlink" Target="https://www.sec.gov/Archives/edgar/data/34903/000119312509038641/dex1028.htm" TargetMode="External"/><Relationship Id="rId27" Type="http://schemas.openxmlformats.org/officeDocument/2006/relationships/hyperlink" Target="https://www.sec.gov/Archives/edgar/data/34903/000119312509038641/dex1030.htm" TargetMode="External"/><Relationship Id="rId28" Type="http://schemas.openxmlformats.org/officeDocument/2006/relationships/hyperlink" Target="https://www.sec.gov/Archives/edgar/data/34903/000119312511036800/dex1034.htm" TargetMode="External"/><Relationship Id="rId29" Type="http://schemas.openxmlformats.org/officeDocument/2006/relationships/hyperlink" Target="https://www.sec.gov/Archives/edgar/data/34903/000003490313000006/frt-12312012xex1035.htm" TargetMode="External"/><Relationship Id="rId30" Type="http://schemas.openxmlformats.org/officeDocument/2006/relationships/hyperlink" Target="https://www.sec.gov/Archives/edgar/data/34903/000003490313000006/frt-12312012xex1036.htm" TargetMode="External"/><Relationship Id="rId31" Type="http://schemas.openxmlformats.org/officeDocument/2006/relationships/hyperlink" Target="https://www.sec.gov/Archives/edgar/data/34903/000003490313000006/frt-12312012xex1037.htm" TargetMode="External"/><Relationship Id="rId32" Type="http://schemas.openxmlformats.org/officeDocument/2006/relationships/hyperlink" Target="https://www.sec.gov/Archives/edgar/data/34903/000003490313000006/frt-12312012xex1038.htm" TargetMode="External"/><Relationship Id="rId33" Type="http://schemas.openxmlformats.org/officeDocument/2006/relationships/hyperlink" Target="https://www.sec.gov/Archives/edgar/data/34903/000003490316000072/frt-09302016xex1036.htm" TargetMode="External"/><Relationship Id="rId34" Type="http://schemas.openxmlformats.org/officeDocument/2006/relationships/hyperlink" Target="https://www.sec.gov/Archives/edgar/data/34903/000003490321000020/frt-12312020xex1033.htm" TargetMode="External"/><Relationship Id="rId35" Type="http://schemas.openxmlformats.org/officeDocument/2006/relationships/hyperlink" Target="https://www.sec.gov/Archives/edgar/data/0000034903/000003490321000020/frt-12312020xex1034.htm" TargetMode="External"/><Relationship Id="rId36" Type="http://schemas.openxmlformats.org/officeDocument/2006/relationships/hyperlink" Target="https://www.sec.gov/Archives/edgar/data/0000034903/000003490321000020/frt-12312020xex1035.htm" TargetMode="External"/><Relationship Id="rId37" Type="http://schemas.openxmlformats.org/officeDocument/2006/relationships/hyperlink" Target="https://www.sec.gov/Archives/edgar/data/0000034903/000003490321000020/frt-12312020xex1036.htm" TargetMode="External"/><Relationship Id="rId38" Type="http://schemas.openxmlformats.org/officeDocument/2006/relationships/hyperlink" Target="https://www.sec.gov/Archives/edgar/data/0000034903/000003490321000020/frt-12312020xex1037.htm" TargetMode="External"/><Relationship Id="rId39" Type="http://schemas.openxmlformats.org/officeDocument/2006/relationships/hyperlink" Target="https://www.sec.gov/Archives/edgar/data/0000034903/000119312522000302/d231372dex101.htm" TargetMode="External"/><Relationship Id="rId40" Type="http://schemas.openxmlformats.org/officeDocument/2006/relationships/hyperlink" Target="https://www.sec.gov/Archives/edgar/data/34903/000119312522260296/d371166dex101.htm" TargetMode="External"/><Relationship Id="rId41" Type="http://schemas.openxmlformats.org/officeDocument/2006/relationships/hyperlink" Target="https://www.sec.gov/ix?doc=/Archives/edgar/data/0000034903/000003490324000032/frt-20231231.htm" TargetMode="External"/><Relationship Id="rId42" Type="http://schemas.openxmlformats.org/officeDocument/2006/relationships/hyperlink" Target="https://www.sec.gov/ix?doc=/Archives/edgar/data/0000034903/000003490324000032/frt-20231231.htm" TargetMode="External"/><Relationship Id="rId43" Type="http://schemas.openxmlformats.org/officeDocument/2006/relationships/hyperlink" Target="https://www.sec.gov/Archives/edgar/data/34903/000119312524006607/d712379dex101.htm" TargetMode="External"/><Relationship Id="rId44" Type="http://schemas.openxmlformats.org/officeDocument/2006/relationships/hyperlink" Target="https://www.sec.gov/ix?doc=/Archives/edgar/data/0000034903/000003490324000046/frt-20240331.htm" TargetMode="External"/><Relationship Id="rId45" Type="http://schemas.openxmlformats.org/officeDocument/2006/relationships/hyperlink" Target="https://www.sec.gov/Archives/edgar/data/34903/000119312525060219/d910432dex101.htm" TargetMode="External"/><Relationship Id="rId46" Type="http://schemas.openxmlformats.org/officeDocument/2006/relationships/hyperlink" Target="https://www.sec.gov/Archives/edgar/data/34903/000003490325000039/exhibit101592025.htm" TargetMode="External"/><Relationship Id="rId47" Type="http://schemas.openxmlformats.org/officeDocument/2006/relationships/hyperlink" Target="https://www.sec.gov/ix?doc=/Archives/edgar/data/34903/000003490324000032/frt-20231231.htm" TargetMode="External"/><Relationship Id="rId48" Type="http://schemas.openxmlformats.org/officeDocument/2006/relationships/hyperlink" Target="https://www.sec.gov/ix?doc=/Archives/edgar/data/34903/000003490324000032/frt-20231231.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62286</Words>
  <Characters>347012</Characters>
  <CharactersWithSpaces>405262</CharactersWithSpaces>
  <Paragraphs>8376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