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pPr>
      <w:r>
        <w:rPr>
          <w:rFonts w:ascii="Times New Roman;serif" w:hAnsi="Times New Roman;serif"/>
          <w:b/>
          <w:color w:val="000000"/>
          <w:sz w:val="28"/>
        </w:rPr>
        <w:t>WASHINGTON, D.C. 20549</w:t>
      </w:r>
      <w:r>
        <w:rPr>
          <w:color w:val="000000"/>
        </w:rPr>
        <w:t> </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 xml:space="preserve">FORM 10-Q </w:t>
      </w:r>
    </w:p>
    <w:tbl>
      <w:tblPr>
        <w:tblW w:w="9057" w:type="dxa"/>
        <w:jc w:val="center"/>
        <w:tblInd w:w="0" w:type="dxa"/>
        <w:tblLayout w:type="fixed"/>
        <w:tblCellMar>
          <w:top w:w="28" w:type="dxa"/>
          <w:left w:w="28" w:type="dxa"/>
          <w:bottom w:w="28" w:type="dxa"/>
          <w:right w:w="28" w:type="dxa"/>
        </w:tblCellMar>
      </w:tblPr>
      <w:tblGrid>
        <w:gridCol w:w="124"/>
        <w:gridCol w:w="109"/>
        <w:gridCol w:w="109"/>
        <w:gridCol w:w="2547"/>
        <w:gridCol w:w="2547"/>
        <w:gridCol w:w="36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QUARTERLY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17"/>
        </w:rPr>
      </w:pPr>
      <w:r>
        <w:rPr>
          <w:rFonts w:ascii="Times New Roman;serif" w:hAnsi="Times New Roman;serif"/>
          <w:b/>
          <w:color w:val="000000"/>
          <w:sz w:val="17"/>
        </w:rPr>
        <w:t>For the quarterly period ended June 30, 2026</w:t>
      </w:r>
    </w:p>
    <w:p>
      <w:pPr>
        <w:pStyle w:val="TextBody"/>
        <w:bidi w:val="0"/>
        <w:spacing w:lineRule="auto" w:line="288" w:before="40" w:after="283"/>
        <w:jc w:val="center"/>
        <w:rPr>
          <w:rFonts w:ascii="Times New Roman;serif" w:hAnsi="Times New Roman;serif"/>
          <w:b/>
          <w:color w:val="000000"/>
          <w:sz w:val="17"/>
        </w:rPr>
      </w:pPr>
      <w:r>
        <w:rPr>
          <w:rFonts w:ascii="Times New Roman;serif" w:hAnsi="Times New Roman;serif"/>
          <w:b/>
          <w:color w:val="000000"/>
          <w:sz w:val="17"/>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5"/>
        <w:gridCol w:w="2545"/>
        <w:gridCol w:w="36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7"/>
        </w:rPr>
      </w:pPr>
      <w:r>
        <w:rPr>
          <w:rFonts w:ascii="Times New Roman;serif" w:hAnsi="Times New Roman;serif"/>
          <w:b/>
          <w:color w:val="000000"/>
          <w:sz w:val="17"/>
        </w:rPr>
        <w:t>For the transition period from              to             </w:t>
      </w:r>
    </w:p>
    <w:p>
      <w:pPr>
        <w:pStyle w:val="TextBody"/>
        <w:bidi w:val="0"/>
        <w:spacing w:lineRule="auto" w:line="288" w:before="80" w:after="283"/>
        <w:jc w:val="center"/>
        <w:rPr/>
      </w:pPr>
      <w:r>
        <w:rPr>
          <w:rFonts w:ascii="Times New Roman;serif" w:hAnsi="Times New Roman;serif"/>
          <w:b/>
          <w:color w:val="000000"/>
          <w:sz w:val="17"/>
        </w:rPr>
        <w:t>Commission file number: 1-07533</w:t>
      </w:r>
      <w:r>
        <w:rPr>
          <w:color w:val="000000"/>
        </w:rPr>
        <w:t> </w:t>
      </w:r>
      <w:r>
        <w:rPr>
          <w:rFonts w:ascii="Times New Roman;serif" w:hAnsi="Times New Roman;serif"/>
          <w:b/>
          <w:color w:val="000000"/>
          <w:sz w:val="17"/>
        </w:rPr>
        <w:t>(Federal Realty Investment Trust)</w:t>
      </w:r>
    </w:p>
    <w:p>
      <w:pPr>
        <w:pStyle w:val="TextBody"/>
        <w:bidi w:val="0"/>
        <w:spacing w:lineRule="auto" w:line="288" w:before="20" w:after="283"/>
        <w:jc w:val="center"/>
        <w:rPr/>
      </w:pPr>
      <w:r>
        <w:rPr>
          <w:rFonts w:ascii="Times New Roman;serif" w:hAnsi="Times New Roman;serif"/>
          <w:b/>
          <w:color w:val="000000"/>
          <w:sz w:val="17"/>
        </w:rPr>
        <w:t>Commission file number: 333-262016-01</w:t>
      </w:r>
      <w:r>
        <w:rPr>
          <w:color w:val="000000"/>
        </w:rPr>
        <w:t> </w:t>
      </w:r>
      <w:r>
        <w:rPr>
          <w:rFonts w:ascii="Times New Roman;serif" w:hAnsi="Times New Roman;serif"/>
          <w:b/>
          <w:color w:val="000000"/>
          <w:sz w:val="17"/>
        </w:rPr>
        <w:t>(Federal Realty OP LP)</w:t>
      </w:r>
    </w:p>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 xml:space="preserve">FEDERAL REALTY INVESTMENT TRUST </w:t>
      </w:r>
    </w:p>
    <w:p>
      <w:pPr>
        <w:pStyle w:val="TextBody"/>
        <w:bidi w:val="0"/>
        <w:spacing w:lineRule="auto" w:line="288" w:before="80" w:after="283"/>
        <w:jc w:val="center"/>
        <w:rPr>
          <w:rFonts w:ascii="Times New Roman;serif" w:hAnsi="Times New Roman;serif"/>
          <w:b/>
          <w:color w:val="000000"/>
          <w:sz w:val="34"/>
        </w:rPr>
      </w:pPr>
      <w:r>
        <w:rPr>
          <w:rFonts w:ascii="Times New Roman;serif" w:hAnsi="Times New Roman;serif"/>
          <w:b/>
          <w:color w:val="000000"/>
          <w:sz w:val="34"/>
        </w:rPr>
        <w:t>FEDERAL REALTY OP LP</w:t>
      </w:r>
    </w:p>
    <w:p>
      <w:pPr>
        <w:pStyle w:val="TextBody"/>
        <w:bidi w:val="0"/>
        <w:spacing w:lineRule="auto" w:line="288" w:before="40" w:after="283"/>
        <w:jc w:val="center"/>
        <w:rPr>
          <w:rFonts w:ascii="Times New Roman;serif" w:hAnsi="Times New Roman;serif"/>
          <w:b/>
          <w:color w:val="000000"/>
          <w:sz w:val="17"/>
        </w:rPr>
      </w:pPr>
      <w:r>
        <w:rPr>
          <w:rFonts w:ascii="Times New Roman;serif" w:hAnsi="Times New Roman;serif"/>
          <w:b/>
          <w:color w:val="000000"/>
          <w:sz w:val="17"/>
        </w:rPr>
        <w:t>(Exact Name of Registrant as Specified in its Charter)</w:t>
      </w:r>
    </w:p>
    <w:tbl>
      <w:tblPr>
        <w:tblW w:w="6290" w:type="dxa"/>
        <w:jc w:val="center"/>
        <w:tblInd w:w="0" w:type="dxa"/>
        <w:tblLayout w:type="fixed"/>
        <w:tblCellMar>
          <w:top w:w="28" w:type="dxa"/>
          <w:left w:w="28" w:type="dxa"/>
          <w:bottom w:w="28" w:type="dxa"/>
          <w:right w:w="28" w:type="dxa"/>
        </w:tblCellMar>
      </w:tblPr>
      <w:tblGrid>
        <w:gridCol w:w="418"/>
        <w:gridCol w:w="367"/>
        <w:gridCol w:w="367"/>
        <w:gridCol w:w="367"/>
        <w:gridCol w:w="367"/>
        <w:gridCol w:w="367"/>
        <w:gridCol w:w="367"/>
        <w:gridCol w:w="367"/>
        <w:gridCol w:w="367"/>
        <w:gridCol w:w="109"/>
        <w:gridCol w:w="109"/>
        <w:gridCol w:w="109"/>
        <w:gridCol w:w="760"/>
        <w:gridCol w:w="760"/>
        <w:gridCol w:w="108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87-3916363</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52-0782497</w:t>
            </w:r>
          </w:p>
        </w:tc>
      </w:tr>
      <w:tr>
        <w:trPr/>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of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(IRS Employer Identification No.)</w:t>
            </w:r>
          </w:p>
        </w:tc>
      </w:tr>
    </w:tbl>
    <w:p>
      <w:pPr>
        <w:pStyle w:val="TextBody"/>
        <w:bidi w:val="0"/>
        <w:spacing w:lineRule="auto" w:line="288" w:before="100" w:after="283"/>
        <w:jc w:val="center"/>
        <w:rPr>
          <w:rFonts w:ascii="Times New Roman;serif" w:hAnsi="Times New Roman;serif"/>
          <w:b/>
          <w:color w:val="000000"/>
          <w:sz w:val="17"/>
        </w:rPr>
      </w:pPr>
      <w:r>
        <w:rPr>
          <w:rFonts w:ascii="Times New Roman;serif" w:hAnsi="Times New Roman;serif"/>
          <w:b/>
          <w:color w:val="000000"/>
          <w:sz w:val="17"/>
        </w:rPr>
        <w:t xml:space="preserve">909 Rose Avenue, Suite 200, North Bethesda, Maryland 20852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17"/>
        </w:rPr>
      </w:pPr>
      <w:r>
        <w:rPr>
          <w:rFonts w:ascii="Times New Roman;serif" w:hAnsi="Times New Roman;serif"/>
          <w:b/>
          <w:color w:val="000000"/>
          <w:sz w:val="17"/>
        </w:rPr>
        <w:t xml:space="preserve">(301) 998-8100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7"/>
          <w:u w:val="single"/>
        </w:rPr>
      </w:pPr>
      <w:r>
        <w:rPr>
          <w:rFonts w:ascii="Times New Roman;serif" w:hAnsi="Times New Roman;serif"/>
          <w:b/>
          <w:color w:val="000000"/>
          <w:sz w:val="17"/>
          <w:u w:val="single"/>
        </w:rPr>
        <w:t>Federal Realty Investment Trust</w:t>
      </w:r>
    </w:p>
    <w:tbl>
      <w:tblPr>
        <w:tblW w:w="10079" w:type="dxa"/>
        <w:jc w:val="center"/>
        <w:tblInd w:w="0" w:type="dxa"/>
        <w:tblLayout w:type="fixed"/>
        <w:tblCellMar>
          <w:top w:w="28" w:type="dxa"/>
          <w:left w:w="28" w:type="dxa"/>
          <w:bottom w:w="28" w:type="dxa"/>
          <w:right w:w="28" w:type="dxa"/>
        </w:tblCellMar>
      </w:tblPr>
      <w:tblGrid>
        <w:gridCol w:w="1910"/>
        <w:gridCol w:w="1687"/>
        <w:gridCol w:w="1698"/>
        <w:gridCol w:w="424"/>
        <w:gridCol w:w="424"/>
        <w:gridCol w:w="426"/>
        <w:gridCol w:w="1027"/>
        <w:gridCol w:w="1027"/>
        <w:gridCol w:w="1456"/>
      </w:tblGrid>
      <w:tr>
        <w:trPr/>
        <w:tc>
          <w:tcPr>
            <w:tcW w:w="191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Name of Each Exchange On Which Registered</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Common Shares of Beneficial Interest</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FRT</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$.01 par value per share, with associated Common Share Purchase Rights</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 xml:space="preserve">Depositary Shares, each representing 1/1000 of a 5.00%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FRT-C</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r>
        <w:trPr/>
        <w:tc>
          <w:tcPr>
            <w:tcW w:w="5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Series C Cumulative Redeemable Preferred Share, $.01 par value per share</w:t>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7"/>
          <w:u w:val="single"/>
        </w:rPr>
      </w:pPr>
      <w:r>
        <w:rPr>
          <w:rFonts w:ascii="Times New Roman;serif" w:hAnsi="Times New Roman;serif"/>
          <w:b/>
          <w:color w:val="000000"/>
          <w:sz w:val="17"/>
          <w:u w:val="single"/>
        </w:rPr>
        <w:t>Federal Realty OP LP</w:t>
      </w:r>
    </w:p>
    <w:tbl>
      <w:tblPr>
        <w:tblW w:w="6253" w:type="dxa"/>
        <w:jc w:val="center"/>
        <w:tblInd w:w="0" w:type="dxa"/>
        <w:tblLayout w:type="fixed"/>
        <w:tblCellMar>
          <w:top w:w="28" w:type="dxa"/>
          <w:left w:w="28" w:type="dxa"/>
          <w:bottom w:w="28" w:type="dxa"/>
          <w:right w:w="28" w:type="dxa"/>
        </w:tblCellMar>
      </w:tblPr>
      <w:tblGrid>
        <w:gridCol w:w="530"/>
        <w:gridCol w:w="468"/>
        <w:gridCol w:w="471"/>
        <w:gridCol w:w="424"/>
        <w:gridCol w:w="424"/>
        <w:gridCol w:w="426"/>
        <w:gridCol w:w="1027"/>
        <w:gridCol w:w="1027"/>
        <w:gridCol w:w="1456"/>
      </w:tblGrid>
      <w:tr>
        <w:trPr/>
        <w:tc>
          <w:tcPr>
            <w:tcW w:w="53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Trading Symbol</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u w:val="single"/>
              </w:rPr>
            </w:pPr>
            <w:r>
              <w:rPr>
                <w:rFonts w:ascii="Times New Roman;serif" w:hAnsi="Times New Roman;serif"/>
                <w:b/>
                <w:color w:val="000000"/>
                <w:sz w:val="17"/>
                <w:u w:val="single"/>
              </w:rPr>
              <w:t>Name of Each Exchange On Which Registered</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None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bidi w:val="0"/>
        <w:spacing w:lineRule="auto" w:line="288" w:before="0" w:after="0"/>
        <w:jc w:val="center"/>
        <w:rPr/>
      </w:pPr>
      <w:r>
        <w:rPr>
          <w:color w:val="000000"/>
        </w:rPr>
        <w:t> </w:t>
      </w:r>
      <w:r>
        <w:rPr>
          <w:rFonts w:ascii="Times New Roman;serif" w:hAnsi="Times New Roman;serif"/>
          <w:b w:val="false"/>
          <w:color w:val="000000"/>
          <w:sz w:val="16"/>
        </w:rPr>
        <w:t>Federal Realty Investment Trust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Federal Realty OP LP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center"/>
        <w:rPr/>
      </w:pPr>
      <w:r>
        <w:rPr>
          <w:rFonts w:ascii="Times New Roman;serif" w:hAnsi="Times New Roman;serif"/>
          <w:b w:val="false"/>
          <w:color w:val="000000"/>
          <w:sz w:val="16"/>
        </w:rPr>
        <w:t>Federal Realty Investment Trust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 Federal Realty OP LP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No</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9826" w:type="dxa"/>
        <w:jc w:val="left"/>
        <w:tblInd w:w="0" w:type="dxa"/>
        <w:tblLayout w:type="fixed"/>
        <w:tblCellMar>
          <w:top w:w="28" w:type="dxa"/>
          <w:left w:w="28" w:type="dxa"/>
          <w:bottom w:w="28" w:type="dxa"/>
          <w:right w:w="28" w:type="dxa"/>
        </w:tblCellMar>
      </w:tblPr>
      <w:tblGrid>
        <w:gridCol w:w="630"/>
        <w:gridCol w:w="553"/>
        <w:gridCol w:w="557"/>
        <w:gridCol w:w="191"/>
        <w:gridCol w:w="191"/>
        <w:gridCol w:w="191"/>
        <w:gridCol w:w="673"/>
        <w:gridCol w:w="673"/>
        <w:gridCol w:w="678"/>
        <w:gridCol w:w="191"/>
        <w:gridCol w:w="191"/>
        <w:gridCol w:w="191"/>
        <w:gridCol w:w="109"/>
        <w:gridCol w:w="109"/>
        <w:gridCol w:w="109"/>
        <w:gridCol w:w="574"/>
        <w:gridCol w:w="574"/>
        <w:gridCol w:w="576"/>
        <w:gridCol w:w="131"/>
        <w:gridCol w:w="131"/>
        <w:gridCol w:w="131"/>
        <w:gridCol w:w="673"/>
        <w:gridCol w:w="673"/>
        <w:gridCol w:w="678"/>
        <w:gridCol w:w="131"/>
        <w:gridCol w:w="131"/>
        <w:gridCol w:w="18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Federal Realty OP LP</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573"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16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center"/>
        <w:rPr/>
      </w:pPr>
      <w:r>
        <w:rPr>
          <w:rFonts w:ascii="Times New Roman;serif" w:hAnsi="Times New Roman;serif"/>
          <w:b w:val="false"/>
          <w:color w:val="000000"/>
          <w:sz w:val="16"/>
        </w:rPr>
        <w:t>Federal Realty Investment Trust </w:t>
      </w:r>
      <w:r>
        <w:rPr>
          <w:color w:val="000000"/>
        </w:rPr>
        <w:t xml:space="preserve">☐  </w:t>
      </w:r>
      <w:r>
        <w:rPr>
          <w:rFonts w:ascii="Times New Roman;serif" w:hAnsi="Times New Roman;serif"/>
          <w:b w:val="false"/>
          <w:color w:val="000000"/>
          <w:sz w:val="16"/>
        </w:rPr>
        <w:t>Federal Realty OP LP </w:t>
      </w:r>
      <w:r>
        <w:rPr>
          <w:color w:val="000000"/>
        </w:rPr>
        <w: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w:t>
      </w:r>
    </w:p>
    <w:p>
      <w:pPr>
        <w:pStyle w:val="TextBody"/>
        <w:bidi w:val="0"/>
        <w:spacing w:lineRule="auto" w:line="288" w:before="0" w:after="0"/>
        <w:jc w:val="center"/>
        <w:rPr/>
      </w:pPr>
      <w:r>
        <w:rPr>
          <w:rFonts w:ascii="Times New Roman;serif" w:hAnsi="Times New Roman;serif"/>
          <w:b w:val="false"/>
          <w:color w:val="000000"/>
          <w:sz w:val="16"/>
        </w:rPr>
        <w:t xml:space="preserve">Federal Realty Investment Trust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 xml:space="preserve">No Federal Realty OP LP </w:t>
      </w:r>
      <w:r>
        <w:rPr>
          <w:color w:val="000000"/>
        </w:rPr>
        <w:t>☐  </w:t>
      </w:r>
      <w:r>
        <w:rPr>
          <w:rFonts w:ascii="Times New Roman;serif" w:hAnsi="Times New Roman;serif"/>
          <w:b w:val="false"/>
          <w:color w:val="000000"/>
          <w:sz w:val="16"/>
        </w:rPr>
        <w:t>Yes    </w:t>
      </w:r>
      <w:r>
        <w:rPr>
          <w:color w:val="000000"/>
        </w:rPr>
        <w:t>☒  </w:t>
      </w:r>
      <w:r>
        <w:rPr>
          <w:rFonts w:ascii="Times New Roman;serif" w:hAnsi="Times New Roman;serif"/>
          <w:b w:val="false"/>
          <w:color w:val="000000"/>
          <w:sz w:val="16"/>
        </w:rPr>
        <w:t xml:space="preserve">No </w:t>
      </w:r>
    </w:p>
    <w:p>
      <w:pPr>
        <w:pStyle w:val="TextBody"/>
        <w:bidi w:val="0"/>
        <w:spacing w:lineRule="auto" w:line="288" w:before="10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xml:space="preserve">The number of Federal Realty Investment Trust's common shares outstanding on July 27, 2026 was 86,889,133.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EXPLANATORY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combines the quarterly reports on Form 10-Q for the quarter ended June 30, 2026, of Federal Realty Investment Trust and Federal Realty OP LP. Unless stated otherwise or the context otherwise requires, references to "Federal Realty Investment Trust," the "Parent Company" or the "Trust" mean Federal Realty Investment Trust; and references to "Federal Realty OP LP" or the "Operating Partnership" mean Federal Realty OP LP. The term "the Company," "we," "us," and "our" refer to the Parent Company and its business and operations conducted through its directly and indirectly owned subsidiaries, including the Operating Partnership. References to "shares" and "shareholders" refer to the shares and shareholders of the Parent Company and not the limited partnership interests or limited partners of the Operating Partnership.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Parent Company is a real estate investment trust ("REIT") that owns 100% of the limited liability company interests of, is the sole member of, and exercises exclusive control over Federal Realty GP LLC (the "General Partner"), which is the sole general partner of the Operating Partnership. As of June 30, 2026, the Parent Company owned 100% of the outstanding partnership units (the "OP Units") in the Operating Partnership.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Company believes combining the quarterly reports on Form 10-Q of the Parent Company and the Operating Partnership into this single report provides the following benefits: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Enhances investors' understanding of the Parent Company and the Operating Partnership by enabling investors to view the businesses as a whole in the same manner as management views and operates the business;</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Eliminates duplicate disclosure and provides a more streamlined and readable presentation; and</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Creates time and cost efficiencies through the preparation of one combined report instead of two separate reports.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operates the Parent Company and the Operating Partnership as one business. Since the Operating Partnership is managed by the Parent Company, and the Parent Company conducts substantially all of its operations through the Operating Partnership, the management of the Parent Company consists of the same individuals as the management of the Operating Partnership.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believe it is important to understand the few differences between the Parent Company and the Operating Partnership in the context of how the Parent Company and the Operating Partnership operate as a consolidated company. The Parent Company is a REIT, whose only material asset is its direct and indirect interest in the Operating Partnership. As a result, the Parent Company does not conduct business itself other than issuing public equity from time to time. The Parent Company is not expected to incur any material indebtedness. The Operating Partnership holds substantially all of our assets and retains the ownership interests in the Company's joint ventures. Except for net proceeds from public equity issuances by the Parent Company, which are contributed to the Operating Partnership in exchange for OP Units, the Operating Partnership generates all capital required by the Company’s business. Sources of this capital include the Operating Partnership’s operations, its direct or indirect incurrence of indebtedness, and the issuance of partnership units.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 partner capital, and non-controlling interests are the primary areas of difference between the unaudited consolidated financial statements of the Parent Company and those of the Operating Partnership. The Operating Partnership’s capital currently includes OP Units owned by the Parent Company, and may in the future include OP Units owned by third parties. OP Units owned by third parties, if any, are accounted for in capital in the Operating Partnership’s financial statements and in non-controlling interests in the Parent Company’s financial statements.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highlight the differences between the Parent Company and the Operating Partnership, there are sections in this report that separately discuss the Parent Company and the Operating Partnership, including separate financial statements (but combined footnotes), separate controls and procedures sections, and separate Exhibit 31 and 32 certifications. In the sections that combine disclosure for the Parent Company and the Operating Partnership, this report refers to actions or holdings as being actions or holdings of the Company.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 ENDED JUNE 30, 2026 </w:t>
      </w:r>
    </w:p>
    <w:p>
      <w:pPr>
        <w:pStyle w:val="TextBody"/>
        <w:bidi w:val="0"/>
        <w:spacing w:before="60" w:after="283"/>
        <w:jc w:val="lef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60" w:after="283"/>
        <w:jc w:val="left"/>
        <w:rPr/>
      </w:pPr>
      <w:r>
        <w:rPr/>
      </w:r>
    </w:p>
    <w:tbl>
      <w:tblPr>
        <w:tblW w:w="10205" w:type="dxa"/>
        <w:jc w:val="center"/>
        <w:tblInd w:w="0" w:type="dxa"/>
        <w:tblLayout w:type="fixed"/>
        <w:tblCellMar>
          <w:top w:w="28" w:type="dxa"/>
          <w:left w:w="28" w:type="dxa"/>
          <w:bottom w:w="28" w:type="dxa"/>
          <w:right w:w="28" w:type="dxa"/>
        </w:tblCellMar>
      </w:tblPr>
      <w:tblGrid>
        <w:gridCol w:w="562"/>
        <w:gridCol w:w="488"/>
        <w:gridCol w:w="488"/>
        <w:gridCol w:w="2812"/>
        <w:gridCol w:w="2722"/>
        <w:gridCol w:w="2757"/>
        <w:gridCol w:w="109"/>
        <w:gridCol w:w="109"/>
        <w:gridCol w:w="158"/>
      </w:tblGrid>
      <w:tr>
        <w:trPr/>
        <w:tc>
          <w:tcPr>
            <w:tcW w:w="56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3">
              <w:r>
                <w:rPr>
                  <w:rStyle w:val="InternetLink"/>
                  <w:rFonts w:ascii="Times New Roman;serif" w:hAnsi="Times New Roman;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2026 (unaudited) and December 31,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9">
              <w:r>
                <w:rPr>
                  <w:rStyle w:val="InternetLink"/>
                  <w:rFonts w:ascii="Times New Roman;serif" w:hAnsi="Times New Roman;serif"/>
                  <w:b w:val="false"/>
                  <w:color w:val="0000FF"/>
                  <w:sz w:val="20"/>
                  <w:u w:val="single"/>
                </w:rPr>
                <w:t>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(unaudited)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25">
              <w:r>
                <w:rPr>
                  <w:rStyle w:val="InternetLink"/>
                  <w:rFonts w:ascii="Times New Roman;serif" w:hAnsi="Times New Roman;serif"/>
                  <w:b w:val="false"/>
                  <w:color w:val="0000FF"/>
                  <w:sz w:val="20"/>
                  <w:u w:val="single"/>
                </w:rPr>
                <w:t>4</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(unaudited)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28">
              <w:r>
                <w:rPr>
                  <w:rStyle w:val="InternetLink"/>
                  <w:rFonts w:ascii="Times New Roman;serif" w:hAnsi="Times New Roman;serif"/>
                  <w:b w:val="false"/>
                  <w:color w:val="0000FF"/>
                  <w:sz w:val="20"/>
                  <w:u w:val="single"/>
                </w:rPr>
                <w:t>5</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for the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31">
              <w:r>
                <w:rPr>
                  <w:rStyle w:val="InternetLink"/>
                  <w:rFonts w:ascii="Times New Roman;serif" w:hAnsi="Times New Roman;serif"/>
                  <w:b w:val="false"/>
                  <w:color w:val="0000FF"/>
                  <w:sz w:val="20"/>
                  <w:u w:val="single"/>
                </w:rPr>
                <w:t>7</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June 30, 2026 (unaudited) and December 31,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37">
              <w:r>
                <w:rPr>
                  <w:rStyle w:val="InternetLink"/>
                  <w:rFonts w:ascii="Times New Roman;serif" w:hAnsi="Times New Roman;serif"/>
                  <w:b w:val="false"/>
                  <w:color w:val="0000FF"/>
                  <w:sz w:val="20"/>
                  <w:u w:val="single"/>
                </w:rPr>
                <w:t>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(unaudited)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40">
              <w:r>
                <w:rPr>
                  <w:rStyle w:val="InternetLink"/>
                  <w:rFonts w:ascii="Times New Roman;serif" w:hAnsi="Times New Roman;serif"/>
                  <w:b w:val="false"/>
                  <w:color w:val="0000FF"/>
                  <w:sz w:val="20"/>
                  <w:u w:val="single"/>
                </w:rPr>
                <w:t>9</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Capital (unaudited) for the three and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43">
              <w:r>
                <w:rPr>
                  <w:rStyle w:val="InternetLink"/>
                  <w:rFonts w:ascii="Times New Roman;serif" w:hAnsi="Times New Roman;serif"/>
                  <w:b w:val="false"/>
                  <w:color w:val="0000FF"/>
                  <w:sz w:val="20"/>
                  <w:u w:val="single"/>
                </w:rPr>
                <w:t>10</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(unaudited) for the six months ended June 30, 2026 and 2025</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46">
              <w:r>
                <w:rPr>
                  <w:rStyle w:val="InternetLink"/>
                  <w:rFonts w:ascii="Times New Roman;serif" w:hAnsi="Times New Roman;serif"/>
                  <w:b w:val="false"/>
                  <w:color w:val="0000FF"/>
                  <w:sz w:val="20"/>
                  <w:u w:val="single"/>
                </w:rPr>
                <w:t>12</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 and Federal Realty OP LP</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49">
              <w:r>
                <w:rPr>
                  <w:rStyle w:val="InternetLink"/>
                  <w:rFonts w:ascii="Times New Roman;serif" w:hAnsi="Times New Roman;serif"/>
                  <w:b w:val="false"/>
                  <w:color w:val="0000FF"/>
                  <w:sz w:val="20"/>
                  <w:u w:val="single"/>
                </w:rPr>
                <w:t>13</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85">
              <w:r>
                <w:rPr>
                  <w:rStyle w:val="InternetLink"/>
                  <w:rFonts w:ascii="Times New Roman;serif" w:hAnsi="Times New Roman;serif"/>
                  <w:b w:val="false"/>
                  <w:color w:val="0000FF"/>
                  <w:sz w:val="20"/>
                  <w:u w:val="single"/>
                </w:rPr>
                <w:t>21</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97">
              <w:r>
                <w:rPr>
                  <w:rStyle w:val="InternetLink"/>
                  <w:rFonts w:ascii="Times New Roman;serif" w:hAnsi="Times New Roman;serif"/>
                  <w:b w:val="false"/>
                  <w:color w:val="0000FF"/>
                  <w:sz w:val="20"/>
                  <w:u w:val="single"/>
                </w:rPr>
                <w:t>38</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00">
              <w:r>
                <w:rPr>
                  <w:rStyle w:val="InternetLink"/>
                  <w:rFonts w:ascii="Times New Roman;serif" w:hAnsi="Times New Roman;serif"/>
                  <w:b w:val="false"/>
                  <w:color w:val="0000FF"/>
                  <w:sz w:val="20"/>
                  <w:u w:val="single"/>
                </w:rPr>
                <w:t>38</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03">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06">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09">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12">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15">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18">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21">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24">
              <w:r>
                <w:rPr>
                  <w:rStyle w:val="InternetLink"/>
                  <w:rFonts w:ascii="Times New Roman;serif" w:hAnsi="Times New Roman;serif"/>
                  <w:b w:val="false"/>
                  <w:color w:val="0000FF"/>
                  <w:sz w:val="20"/>
                  <w:u w:val="single"/>
                </w:rPr>
                <w:t>40</w:t>
              </w:r>
            </w:hyperlink>
          </w:p>
        </w:tc>
      </w:tr>
      <w:tr>
        <w:trPr/>
        <w:tc>
          <w:tcPr>
            <w:tcW w:w="1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SIGNATURES</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c261a3462054eb4b2d365925d632516_130">
              <w:r>
                <w:rPr>
                  <w:rStyle w:val="InternetLink"/>
                  <w:rFonts w:ascii="Times New Roman;serif" w:hAnsi="Times New Roman;serif"/>
                  <w:b w:val="false"/>
                  <w:color w:val="0000FF"/>
                  <w:sz w:val="20"/>
                  <w:u w:val="single"/>
                </w:rPr>
                <w:t>41</w:t>
              </w:r>
            </w:hyperlink>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03"/>
        <w:gridCol w:w="1983"/>
        <w:gridCol w:w="1955"/>
        <w:gridCol w:w="223"/>
        <w:gridCol w:w="1145"/>
        <w:gridCol w:w="115"/>
        <w:gridCol w:w="115"/>
        <w:gridCol w:w="115"/>
        <w:gridCol w:w="115"/>
        <w:gridCol w:w="223"/>
        <w:gridCol w:w="1145"/>
        <w:gridCol w:w="168"/>
      </w:tblGrid>
      <w:tr>
        <w:trPr/>
        <w:tc>
          <w:tcPr>
            <w:tcW w:w="290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6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$1,901,302 and $1,832,190 of consolidated variable interest entities, respectively)</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$37,695 and $28,418 of consolidated variable interest entities, respectively)</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11,678,315 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$487,052 and $468,725 of consolidated variable interest entities, respectively)</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8,233,991 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9,059,119 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SHAREHOLDERS’ EQUITY</w:t>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$190,863 and $194,176 of consolidated variable interest entities, respectively)</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2,966,685 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5,441,428 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shares, authorized 15,000,000 shares, $.01 par:</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(stated at liquidation preference $25,000 per share), 6,000 shares issued and outstanding</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 (stated at liquidation preference $25 per share), 392,878 shares issued and outstanding</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$.01 par, 200,000,000 shares authorized, 86,883,595 and 86,266,009 shares issued and outstanding, respectively</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4,374,872 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4,310,365 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dividends in excess of net income</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(1,224,372)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 of the Trust</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3,364,530 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3,434,572 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9,059,119 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1"/>
        <w:gridCol w:w="1409"/>
        <w:gridCol w:w="14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7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TRUST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217,856 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Shareholders’ Equity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86,386,687 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$2,055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$28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($1.13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$1,791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86,883,595 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(1,179,380)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86,266,009 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$3,229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$38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($2.26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$4,674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493,475 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86,883,595 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TextBody"/>
        <w:bidi w:val="0"/>
        <w:spacing w:before="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Consolidated Statements of Shareholders’ Equity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40" w:after="283"/>
        <w:jc w:val="center"/>
        <w:rPr/>
      </w:pPr>
      <w:r>
        <w:rPr/>
      </w:r>
    </w:p>
    <w:tbl>
      <w:tblPr>
        <w:tblW w:w="13648" w:type="dxa"/>
        <w:jc w:val="center"/>
        <w:tblInd w:w="0" w:type="dxa"/>
        <w:tblLayout w:type="fixed"/>
        <w:tblCellMar>
          <w:top w:w="28" w:type="dxa"/>
          <w:left w:w="28" w:type="dxa"/>
          <w:bottom w:w="28" w:type="dxa"/>
          <w:right w:w="28" w:type="dxa"/>
        </w:tblCellMar>
      </w:tblPr>
      <w:tblGrid>
        <w:gridCol w:w="596"/>
        <w:gridCol w:w="287"/>
        <w:gridCol w:w="288"/>
        <w:gridCol w:w="368"/>
        <w:gridCol w:w="368"/>
        <w:gridCol w:w="196"/>
        <w:gridCol w:w="109"/>
        <w:gridCol w:w="109"/>
        <w:gridCol w:w="109"/>
        <w:gridCol w:w="196"/>
        <w:gridCol w:w="736"/>
        <w:gridCol w:w="109"/>
        <w:gridCol w:w="109"/>
        <w:gridCol w:w="109"/>
        <w:gridCol w:w="109"/>
        <w:gridCol w:w="480"/>
        <w:gridCol w:w="481"/>
        <w:gridCol w:w="196"/>
        <w:gridCol w:w="109"/>
        <w:gridCol w:w="109"/>
        <w:gridCol w:w="109"/>
        <w:gridCol w:w="196"/>
        <w:gridCol w:w="421"/>
        <w:gridCol w:w="109"/>
        <w:gridCol w:w="109"/>
        <w:gridCol w:w="109"/>
        <w:gridCol w:w="109"/>
        <w:gridCol w:w="196"/>
        <w:gridCol w:w="871"/>
        <w:gridCol w:w="109"/>
        <w:gridCol w:w="109"/>
        <w:gridCol w:w="109"/>
        <w:gridCol w:w="109"/>
        <w:gridCol w:w="196"/>
        <w:gridCol w:w="886"/>
        <w:gridCol w:w="109"/>
        <w:gridCol w:w="109"/>
        <w:gridCol w:w="109"/>
        <w:gridCol w:w="109"/>
        <w:gridCol w:w="276"/>
        <w:gridCol w:w="785"/>
        <w:gridCol w:w="155"/>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1"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 of the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Dividends in</w:t>
              <w:br/>
              <w:t>Excess of Net</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7"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data)</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86,255,005 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$2,013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$67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($1.10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$2,094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 and purchase of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86,261,214 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85,666,220 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$4,016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$167 attributable to redeemable noncontrolling interests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common shareholders ($2.20 per share)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to preferred shareholders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excluding $4,357 attributable to redeemable noncontrolling interests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issued,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476,609 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under dividend reinvestment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(42,537)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and redemption of downREIT OP units and purchase of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398,878 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86,261,214 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40" w:after="283"/>
        <w:jc w:val="center"/>
        <w:rPr/>
      </w:pPr>
      <w:r>
        <w:rPr>
          <w:color w:val="000000"/>
        </w:rPr>
        <w:t> </w:t>
      </w:r>
      <w:r>
        <w:rPr>
          <w:rFonts w:ascii="Times New Roman;serif" w:hAnsi="Times New Roman;serif"/>
          <w:b/>
          <w:color w:val="000000"/>
          <w:sz w:val="20"/>
        </w:rPr>
        <w:t>(Unaudited)</w:t>
      </w:r>
    </w:p>
    <w:tbl>
      <w:tblPr>
        <w:tblW w:w="9492" w:type="dxa"/>
        <w:jc w:val="left"/>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facility,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and extension of notes payable,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shares,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common and preferred shareholders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and 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918"/>
        <w:gridCol w:w="2067"/>
        <w:gridCol w:w="2044"/>
        <w:gridCol w:w="211"/>
        <w:gridCol w:w="1081"/>
        <w:gridCol w:w="109"/>
        <w:gridCol w:w="109"/>
        <w:gridCol w:w="109"/>
        <w:gridCol w:w="109"/>
        <w:gridCol w:w="211"/>
        <w:gridCol w:w="1081"/>
        <w:gridCol w:w="156"/>
      </w:tblGrid>
      <w:tr>
        <w:trPr/>
        <w:tc>
          <w:tcPr>
            <w:tcW w:w="2918"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unit data)</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at cost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(including $1,901,302 and $1,832,190 of consolidated variable interest entities, respectively)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11,265,167 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Construction-in-progress (including $37,695 and $28,418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 (including $487,052 and $468,725 of consolidated variable interest entities,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(3,351,881)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8,233,991 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8,288,021 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notes receivable,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notes receivable,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CAPITAL</w:t>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Mortgages payable, net (including $190,863 and $194,176 of consolidated variable interest entities,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521,759 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and deferred credits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5,629,819 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181,655 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capital</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units, 398,878 units issued and outstanding</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units, 86,883,595 and 86,266,009 units issued and outstanding,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3,091,896 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partner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3,248,731 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in consolidated partnerships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9,059,119 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9,130,460 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7"/>
        <w:gridCol w:w="1381"/>
        <w:gridCol w:w="138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unit data)</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Gain on sale of real estate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PARTNERSHIP</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on preferred units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BASIC:</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unit 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units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DILUTED:</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units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THE PARTNERSHIP</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251,094 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217,856 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2026</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382" w:type="dxa"/>
        <w:jc w:val="left"/>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$2,055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$28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$1,791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3,364,530 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3,434,572 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3,318,986 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$3,229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 change in fair value of interest rate swaps, excluding $38 attributable to 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$4,674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3,364,530 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70,042 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Capital</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452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4" w:type="dxa"/>
            <w:gridSpan w:val="2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60" w:type="dxa"/>
            <w:gridSpan w:val="3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382" w:type="dxa"/>
        <w:jc w:val="center"/>
        <w:tblInd w:w="0" w:type="dxa"/>
        <w:tblLayout w:type="fixed"/>
        <w:tblCellMar>
          <w:top w:w="28" w:type="dxa"/>
          <w:left w:w="28" w:type="dxa"/>
          <w:bottom w:w="28" w:type="dxa"/>
          <w:right w:w="28" w:type="dxa"/>
        </w:tblCellMar>
      </w:tblPr>
      <w:tblGrid>
        <w:gridCol w:w="596"/>
        <w:gridCol w:w="287"/>
        <w:gridCol w:w="288"/>
        <w:gridCol w:w="109"/>
        <w:gridCol w:w="109"/>
        <w:gridCol w:w="109"/>
        <w:gridCol w:w="196"/>
        <w:gridCol w:w="736"/>
        <w:gridCol w:w="109"/>
        <w:gridCol w:w="109"/>
        <w:gridCol w:w="109"/>
        <w:gridCol w:w="109"/>
        <w:gridCol w:w="196"/>
        <w:gridCol w:w="871"/>
        <w:gridCol w:w="109"/>
        <w:gridCol w:w="109"/>
        <w:gridCol w:w="109"/>
        <w:gridCol w:w="109"/>
        <w:gridCol w:w="109"/>
        <w:gridCol w:w="109"/>
        <w:gridCol w:w="276"/>
        <w:gridCol w:w="785"/>
        <w:gridCol w:w="155"/>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Consolidated 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72,385 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$2,013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$67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$2,094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downREIT OP units and purchase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excluding $4,016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 - change in fair value of interest rate swaps, excluding $167 attributable to 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common unit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declared to preferred unit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Distributions declared to noncontrolling interests in consolidated partnerships, excluding $4,357 attributable to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as a result of common stock issued by Parent Company,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issued under dividend reinvestment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units withheld for employee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and redemption of downREIT OP units and purchase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pPr>
      <w:r>
        <w:rPr>
          <w:rFonts w:ascii="Times New Roman;serif" w:hAnsi="Times New Roman;serif"/>
          <w:b/>
          <w:color w:val="000000"/>
          <w:sz w:val="20"/>
        </w:rPr>
        <w:t>Consolidated Statements of Cash Flows</w:t>
      </w:r>
      <w:r>
        <w:rPr>
          <w:color w:val="000000"/>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9492" w:type="dxa"/>
        <w:jc w:val="center"/>
        <w:tblInd w:w="0" w:type="dxa"/>
        <w:tblLayout w:type="fixed"/>
        <w:tblCellMar>
          <w:top w:w="28" w:type="dxa"/>
          <w:left w:w="28" w:type="dxa"/>
          <w:bottom w:w="28" w:type="dxa"/>
          <w:right w:w="28" w:type="dxa"/>
        </w:tblCellMar>
      </w:tblPr>
      <w:tblGrid>
        <w:gridCol w:w="2433"/>
        <w:gridCol w:w="2137"/>
        <w:gridCol w:w="2149"/>
        <w:gridCol w:w="211"/>
        <w:gridCol w:w="826"/>
        <w:gridCol w:w="109"/>
        <w:gridCol w:w="109"/>
        <w:gridCol w:w="109"/>
        <w:gridCol w:w="109"/>
        <w:gridCol w:w="211"/>
        <w:gridCol w:w="826"/>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 w:type="dxa"/>
            <w:tcBorders/>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61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 and dispositions: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security deposits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development and redevelopment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partnerships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from partnerships in excess of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under revolving credit facility,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senior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and extension of notes payable,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mortgages, finance leases and notes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units, net of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common and preferred unit holders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and redemptions of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Investment Trust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Federal Realty OP LP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1—BUSINESS AND ORGANIZATION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 is a leader in the ownership, operation, and redevelopment of high-quality retail-based properties located primarily in major coastal markets and select underserved regions that we believe have strong economic and demographic fundamentals. Founded in 1962, our mission is to deliver long-term, sustainable growth through investing in communities where we believe retail demand exceeds supply. This includes a portfolio of open-air shopping centers and mixed-use destinations, which we believe reflect our ability to create distinctive, high-performing environments that serve as vibrant destinations for their communities.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Parent Company, which is a REIT, conducts substantially all of its operations and owns substantially all of its assets through the Operating Partnership. The Parent Company owns 100% of the limited liability company interests of, is the sole member of and exercises exclusive control over Federal Realty GP LLC, which is the sole general partner of the Operating Partnership. The Parent Company does not expect to have substantial assets or liabilities other than through its investment in the Operating Partnership.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owned or had a majority interest in community and neighborhood shopping centers and mixed-use properties which are operated as 103 predominantly retail real estate projects.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operate in a manner intended to enable the Trust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General Economic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Significant uncertainty continues within the macro-economic and political environment including inflation risk, changes in interest rates, geopolitical instability, changes in tariffs and their impact on trade and prices, increases or decreases in federal and state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environment. The extent of the future effects on our business, results of operations, cash flows, and growth strategies is highly uncertain and will ultimately depend on future developments, none of which can be predicted.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of the Parent Company and Operating Partnership have been prepared pursuant to the rules and regulations of the Securities and Exchange Commission. Certain information and note disclosures normally included in annual financial statements prepared in accordance with GAAP have been omitted pursuant to those rules and regulations, although we believe that the disclosures made are adequate to make the information not misleading. It is suggested that these financial statements be read in conjunction with the financial statements and notes thereto included in our latest Annual Report on Form 10-K. In the opinion of management, all adjustments (consisting of normal, recurring adjustments) necessary for a fair presentation for the periods presented have been included. The results of operations for the three and six months ended June 30, 2026 are not necessarily indicative of the results that may be expected for the full year.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00" w:after="283"/>
        <w:jc w:val="left"/>
        <w:rPr/>
      </w:pPr>
      <w:r>
        <w:rPr>
          <w:rFonts w:ascii="Times New Roman;serif" w:hAnsi="Times New Roman;serif"/>
          <w:b w:val="false"/>
          <w:color w:val="000000"/>
          <w:sz w:val="20"/>
        </w:rPr>
        <w:t xml:space="preserve">As discussed in the </w:t>
      </w:r>
      <w:hyperlink w:anchor="i2c261a3462054eb4b2d365925d632516_7">
        <w:r>
          <w:rPr>
            <w:rStyle w:val="InternetLink"/>
            <w:rFonts w:ascii="Times New Roman;serif" w:hAnsi="Times New Roman;serif"/>
            <w:b w:val="false"/>
            <w:color w:val="0000FF"/>
            <w:sz w:val="20"/>
            <w:u w:val="single"/>
          </w:rPr>
          <w:t>Explanatory Note</w:t>
        </w:r>
      </w:hyperlink>
      <w:r>
        <w:rPr>
          <w:rFonts w:ascii="Times New Roman;serif" w:hAnsi="Times New Roman;serif"/>
          <w:b w:val="false"/>
          <w:color w:val="000000"/>
          <w:sz w:val="20"/>
        </w:rPr>
        <w:t xml:space="preserve">, we have combined the quarterly reports on Form 10-Q of the Parent Company and the Operating Partnership into this single report. As a result, we present two sets of consolidated financial statements. Both sets of consolidated financial statements include the accounts of the entity, its corporate subsidiaries, and all entities in which it has a controlling interest or has been determined to be the primary beneficiary of a variable interest entity. The Parent Company's consolidated financial statements include the accounts of the Operating Partnership and its subsidiaries as the Parent Company, through its ownership and control over the General Partner, exercises exclusive control over the Operating Partnership. The equity interests of other investors are reflected as noncontrolling interests or redeemable noncontrolling interests. All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intercompany transactions and balances are eliminated in consolidation. We account for our interests in joint ventures which we do not control using the equity method of accounting.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one reportable segment. We evaluate financial performance using property operating income ("POI"), a non-GAAP measure which consists of rental income, other property income, and mortgage interest income, less rental expenses and 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property operating income to consolidated net income:</w:t>
      </w:r>
    </w:p>
    <w:tbl>
      <w:tblPr>
        <w:tblW w:w="9089" w:type="dxa"/>
        <w:jc w:val="left"/>
        <w:tblInd w:w="0" w:type="dxa"/>
        <w:tblLayout w:type="fixed"/>
        <w:tblCellMar>
          <w:top w:w="28" w:type="dxa"/>
          <w:left w:w="28" w:type="dxa"/>
          <w:bottom w:w="28" w:type="dxa"/>
          <w:right w:w="28" w:type="dxa"/>
        </w:tblCellMar>
      </w:tblPr>
      <w:tblGrid>
        <w:gridCol w:w="1259"/>
        <w:gridCol w:w="1108"/>
        <w:gridCol w:w="11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do not present significant expense disclosures for our reportable segment as operating segment level expenses are not regularly provided to our chief operating decision maker ("CODM"). However, real estate tax expense is presented on the face of the consolidated statement of comprehensive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do not present a reconciliation of our reportable segment's assets to consolidated assets, as asset information by operating segment is not used by our CODM to allocate resources and capital or assess performance.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tbl>
      <w:tblPr>
        <w:tblW w:w="10205" w:type="dxa"/>
        <w:jc w:val="left"/>
        <w:tblInd w:w="0" w:type="dxa"/>
        <w:tblLayout w:type="fixed"/>
        <w:tblCellMar>
          <w:top w:w="28" w:type="dxa"/>
          <w:left w:w="28" w:type="dxa"/>
          <w:bottom w:w="28" w:type="dxa"/>
          <w:right w:w="28" w:type="dxa"/>
        </w:tblCellMar>
      </w:tblPr>
      <w:tblGrid>
        <w:gridCol w:w="1078"/>
        <w:gridCol w:w="768"/>
        <w:gridCol w:w="768"/>
        <w:gridCol w:w="109"/>
        <w:gridCol w:w="109"/>
        <w:gridCol w:w="109"/>
        <w:gridCol w:w="1511"/>
        <w:gridCol w:w="1511"/>
        <w:gridCol w:w="1525"/>
        <w:gridCol w:w="109"/>
        <w:gridCol w:w="109"/>
        <w:gridCol w:w="109"/>
        <w:gridCol w:w="817"/>
        <w:gridCol w:w="647"/>
        <w:gridCol w:w="926"/>
      </w:tblGrid>
      <w:tr>
        <w:trPr/>
        <w:tc>
          <w:tcPr>
            <w:tcW w:w="107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on the financial statements or significant matters</w:t>
            </w:r>
          </w:p>
        </w:tc>
      </w:tr>
      <w:tr>
        <w:trPr/>
        <w:tc>
          <w:tcPr>
            <w:tcW w:w="2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Adopted in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2024-04, November 2024, </w:t>
            </w:r>
            <w:r>
              <w:rPr>
                <w:rFonts w:ascii="Times New Roman;serif" w:hAnsi="Times New Roman;serif"/>
                <w:b w:val="false"/>
                <w:i/>
                <w:color w:val="000000"/>
                <w:sz w:val="19"/>
              </w:rPr>
              <w:t>Debt—Debt with Conversion and Other Options (Subtopic 470-20), Induced Conversions of Convertible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This ASU clarifies the requirements for determining whether to account for certain early settlements of convertible debt instruments as induced conversions or extinguishments.</w:t>
              <w:br/>
            </w:r>
            <w:r>
              <w:rPr>
                <w:rFonts w:ascii="Times New Roman;serif" w:hAnsi="Times New Roman;serif"/>
                <w:b w:val="false"/>
                <w:sz w:val="18"/>
              </w:rPr>
              <w:br/>
            </w:r>
            <w:r>
              <w:rPr>
                <w:rFonts w:ascii="Times New Roman;serif" w:hAnsi="Times New Roman;serif"/>
                <w:b w:val="false"/>
                <w:color w:val="000000"/>
                <w:sz w:val="18"/>
              </w:rPr>
              <w:t>Entities have the option to apply the guidance either (1) prospectively to settlements of convertible debt instruments that occur during fiscal years (and interim periods within those fiscal years) beginning after the effective date or (2) retrospectively. This is effective for all entities for fiscal years beginning after December 15, 2025, and interim periods within those fiscal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adopted this ASU as of January 1, 2026. The implementation of this ASU did not have an impact on our consolidated financial statements.</w:t>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0"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0"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8"/>
        <w:gridCol w:w="685"/>
        <w:gridCol w:w="690"/>
        <w:gridCol w:w="109"/>
        <w:gridCol w:w="109"/>
        <w:gridCol w:w="109"/>
        <w:gridCol w:w="2521"/>
        <w:gridCol w:w="1771"/>
        <w:gridCol w:w="1790"/>
        <w:gridCol w:w="109"/>
        <w:gridCol w:w="109"/>
        <w:gridCol w:w="109"/>
        <w:gridCol w:w="383"/>
        <w:gridCol w:w="383"/>
        <w:gridCol w:w="550"/>
      </w:tblGrid>
      <w:tr>
        <w:trPr/>
        <w:tc>
          <w:tcPr>
            <w:tcW w:w="7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21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on the financial statements or significant matters</w:t>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9"/>
                <w:u w:val="single"/>
              </w:rPr>
            </w:pPr>
            <w:r>
              <w:rPr>
                <w:rFonts w:ascii="Times New Roman;serif" w:hAnsi="Times New Roman;serif"/>
                <w:b/>
                <w:i/>
                <w:color w:val="000000"/>
                <w:sz w:val="19"/>
                <w:u w:val="single"/>
              </w:rPr>
              <w:t>Issued in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2025-01, January 2025, and ASU 2024-03, November 2024, </w:t>
            </w:r>
            <w:r>
              <w:rPr>
                <w:rFonts w:ascii="Times New Roman;serif" w:hAnsi="Times New Roman;serif"/>
                <w:b w:val="false"/>
                <w:i/>
                <w:color w:val="000000"/>
                <w:sz w:val="19"/>
              </w:rPr>
              <w:t>Income Statement—Reporting Comprehensive Income — Expense Disaggregation Disclosures (Subtopic 220-40)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8"/>
              </w:rPr>
              <w:t>This ASU requires the disaggregation of specific natural expense categories within relevant income statement captions. Public business entities are required to provide tabular disclosures which disaggregate expenses such as purchases of inventory, employee compensation, depreciation and amortization. A separate total of an entity's selling expenses is also required, along with the disclosure of how the company determines them.</w:t>
              <w:br/>
            </w:r>
            <w:r>
              <w:rPr>
                <w:rFonts w:ascii="Times New Roman;serif" w:hAnsi="Times New Roman;serif"/>
                <w:b w:val="false"/>
                <w:sz w:val="18"/>
              </w:rPr>
              <w:br/>
            </w:r>
            <w:r>
              <w:rPr>
                <w:rFonts w:ascii="Times New Roman;serif" w:hAnsi="Times New Roman;serif"/>
                <w:b w:val="false"/>
                <w:color w:val="000000"/>
                <w:sz w:val="18"/>
              </w:rPr>
              <w:t>The guidance is required to be applied prospectively, but may be applied retrospectively for annual reporting periods beginning after December 15, 2026, and interim periods within annual reporting periods beginning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2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2025-09, November 2025, </w:t>
            </w:r>
            <w:r>
              <w:rPr>
                <w:rFonts w:ascii="Times New Roman;serif" w:hAnsi="Times New Roman;serif"/>
                <w:b w:val="false"/>
                <w:i/>
                <w:color w:val="000000"/>
                <w:sz w:val="19"/>
              </w:rPr>
              <w:t>Derivatives and Hedging</w:t>
            </w:r>
            <w:r>
              <w:rPr>
                <w:color w:val="000000"/>
              </w:rPr>
              <w:t xml:space="preserve"> </w:t>
            </w:r>
            <w:r>
              <w:rPr>
                <w:rFonts w:ascii="Times New Roman;serif" w:hAnsi="Times New Roman;serif"/>
                <w:b w:val="false"/>
                <w:i/>
                <w:color w:val="000000"/>
                <w:sz w:val="19"/>
              </w:rPr>
              <w:t>(Topic 815), Hedge Accounting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amends certain aspects of hedge accounting in ASC 815. The main amendments relate to cash flow hedging, but some of the amendments affect certain fair value and net investment hedges. The key changes include: (1) Allows individual forecasted transactions to be hedged in a group if they have similar risk exposure for cash flow hedges. (2) Establishes a model borrowers can use in cash flow hedges of forecasted interest payments on choose-your-rate debt instruments. (3) Expands hedge accounting for forecasted purchases and sales of nonfinancial assets. (4) Eliminates the requirement for the net written option test in certain instances to accommodate differences in the loan and swap markets that resulted from reference rate reform. (5) Eliminates the recognition and presentation mismatch for foreign currency-denominated debt used as both a net investment hedge instrument and a hedged item for interest rate risk.</w:t>
              <w:br/>
            </w:r>
            <w:r>
              <w:rPr>
                <w:rFonts w:ascii="Times New Roman;serif" w:hAnsi="Times New Roman;serif"/>
                <w:b w:val="false"/>
                <w:sz w:val="19"/>
              </w:rPr>
              <w:br/>
            </w:r>
            <w:r>
              <w:rPr>
                <w:rFonts w:ascii="Times New Roman;serif" w:hAnsi="Times New Roman;serif"/>
                <w:b w:val="false"/>
                <w:color w:val="000000"/>
                <w:sz w:val="19"/>
              </w:rPr>
              <w:t>The guidance is applied prospectively for all hedging relationships as of the date of adoption. The guidance applies to all public entities and is effective for fiscal years beginning after December 15, 2026, and interim periods within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2025-10, December 2025, </w:t>
            </w:r>
            <w:r>
              <w:rPr>
                <w:rFonts w:ascii="Times New Roman;serif" w:hAnsi="Times New Roman;serif"/>
                <w:b w:val="false"/>
                <w:i/>
                <w:color w:val="000000"/>
                <w:sz w:val="19"/>
              </w:rPr>
              <w:t>Government Grants</w:t>
            </w:r>
            <w:r>
              <w:rPr>
                <w:color w:val="000000"/>
              </w:rPr>
              <w:t xml:space="preserve"> </w:t>
            </w:r>
            <w:r>
              <w:rPr>
                <w:rFonts w:ascii="Times New Roman;serif" w:hAnsi="Times New Roman;serif"/>
                <w:b w:val="false"/>
                <w:i/>
                <w:color w:val="000000"/>
                <w:sz w:val="19"/>
              </w:rPr>
              <w:t>(Topic 832), Accounting for Government Grants Received by Business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establishes guidance on the recognition, measurement, and presentation of government grants received by business entities. ASU 2025-10 introduces specific recognition thresholds (probability of compliance and receipt) and detailed disclosures, aiming to improve consistency and comparability in financial reporting for grants.</w:t>
              <w:br/>
            </w:r>
            <w:r>
              <w:rPr>
                <w:rFonts w:ascii="Times New Roman;serif" w:hAnsi="Times New Roman;serif"/>
                <w:b w:val="false"/>
                <w:sz w:val="19"/>
              </w:rPr>
              <w:br/>
            </w:r>
            <w:r>
              <w:rPr>
                <w:rFonts w:ascii="Times New Roman;serif" w:hAnsi="Times New Roman;serif"/>
                <w:b w:val="false"/>
                <w:color w:val="000000"/>
                <w:sz w:val="19"/>
              </w:rPr>
              <w:t>The new guidance is effective for public business entities in annual periods beginning after December 15, 2028 (including interim periods within), with early adoption permitted in any period for which financial statements have not yet been issued. The guidance can be applied on a modified prospective basis, a modified retrospective basis, or a full retrospective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r>
        <w:trPr/>
        <w:tc>
          <w:tcPr>
            <w:tcW w:w="2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2025-11, December 2025, </w:t>
            </w:r>
            <w:r>
              <w:rPr>
                <w:rFonts w:ascii="Times New Roman;serif" w:hAnsi="Times New Roman;serif"/>
                <w:b w:val="false"/>
                <w:i/>
                <w:color w:val="000000"/>
                <w:sz w:val="19"/>
              </w:rPr>
              <w:t>Interim Reporting</w:t>
            </w:r>
            <w:r>
              <w:rPr>
                <w:color w:val="000000"/>
              </w:rPr>
              <w:t xml:space="preserve"> </w:t>
            </w:r>
            <w:r>
              <w:rPr>
                <w:rFonts w:ascii="Times New Roman;serif" w:hAnsi="Times New Roman;serif"/>
                <w:b w:val="false"/>
                <w:i/>
                <w:color w:val="000000"/>
                <w:sz w:val="19"/>
              </w:rPr>
              <w:t>(Topic 270), Narrow-Scope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2"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clarifies interim disclosure requirements including the form and content of such financial statements, adds a comprehensive list of mandatory interim disclosures, and establishes a principle under which an entity must disclose events since the end of the last annual reporting period that have a material impact on the entity.</w:t>
              <w:br/>
            </w:r>
            <w:r>
              <w:rPr>
                <w:rFonts w:ascii="Times New Roman;serif" w:hAnsi="Times New Roman;serif"/>
                <w:b w:val="false"/>
                <w:sz w:val="19"/>
              </w:rPr>
              <w:br/>
            </w:r>
            <w:r>
              <w:rPr>
                <w:rFonts w:ascii="Times New Roman;serif" w:hAnsi="Times New Roman;serif"/>
                <w:b w:val="false"/>
                <w:color w:val="000000"/>
                <w:sz w:val="19"/>
              </w:rPr>
              <w:t>The guidance can be applied either prospectively or retrospectively. The guidance applies to all public entities and is effective for interim reporting periods with annual reporting periods after December 15, 2027.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are assessing the impact of this ASU on our consolidated financial statements.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74"/>
        <w:gridCol w:w="593"/>
        <w:gridCol w:w="599"/>
        <w:gridCol w:w="109"/>
        <w:gridCol w:w="109"/>
        <w:gridCol w:w="109"/>
        <w:gridCol w:w="1883"/>
        <w:gridCol w:w="1883"/>
        <w:gridCol w:w="1899"/>
        <w:gridCol w:w="109"/>
        <w:gridCol w:w="109"/>
        <w:gridCol w:w="109"/>
        <w:gridCol w:w="589"/>
        <w:gridCol w:w="589"/>
        <w:gridCol w:w="842"/>
      </w:tblGrid>
      <w:tr>
        <w:trPr/>
        <w:tc>
          <w:tcPr>
            <w:tcW w:w="67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on the financial statements or significant matters</w:t>
            </w:r>
          </w:p>
        </w:tc>
      </w:tr>
      <w:tr>
        <w:trPr/>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9"/>
              </w:rPr>
              <w:t xml:space="preserve">ASU 2025-12, December 2025, </w:t>
            </w:r>
            <w:r>
              <w:rPr>
                <w:rFonts w:ascii="Times New Roman;serif" w:hAnsi="Times New Roman;serif"/>
                <w:b w:val="false"/>
                <w:i/>
                <w:color w:val="000000"/>
                <w:sz w:val="19"/>
              </w:rPr>
              <w:t>Codification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color w:val="000000"/>
                <w:sz w:val="19"/>
              </w:rPr>
              <w:t>This ASU clarifies, corrects errors in and makes improvements to several topics within the FASB Codification. The amendments are part of an ongoing FASB project to make non-substantive technical corrections, clarifications, and improvements to make standards more consistent and easier to interpret for preparers and users.</w:t>
              <w:br/>
            </w:r>
            <w:r>
              <w:rPr>
                <w:rFonts w:ascii="Times New Roman;serif" w:hAnsi="Times New Roman;serif"/>
                <w:b w:val="false"/>
                <w:sz w:val="19"/>
              </w:rPr>
              <w:br/>
            </w:r>
            <w:r>
              <w:rPr>
                <w:rFonts w:ascii="Times New Roman;serif" w:hAnsi="Times New Roman;serif"/>
                <w:b w:val="false"/>
                <w:color w:val="000000"/>
                <w:sz w:val="19"/>
              </w:rPr>
              <w:t>The guidance applies to all public entities and is effective for fiscal years beginning after December 15, 2026, and interim periods within those fiscal years. Early adoption is permitted.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 do not expect this ASU to have a material impact on our consolidated financial statements.</w:t>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Consolidated Statements of Cash Flows—Supplemental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supplemental disclosures related to the Consolidated Statements of Cash Flows:</w:t>
      </w:r>
    </w:p>
    <w:tbl>
      <w:tblPr>
        <w:tblW w:w="8432" w:type="dxa"/>
        <w:jc w:val="left"/>
        <w:tblInd w:w="0" w:type="dxa"/>
        <w:tblLayout w:type="fixed"/>
        <w:tblCellMar>
          <w:top w:w="28" w:type="dxa"/>
          <w:left w:w="28" w:type="dxa"/>
          <w:bottom w:w="28" w:type="dxa"/>
          <w:right w:w="28" w:type="dxa"/>
        </w:tblCellMar>
      </w:tblPr>
      <w:tblGrid>
        <w:gridCol w:w="2048"/>
        <w:gridCol w:w="1801"/>
        <w:gridCol w:w="1806"/>
        <w:gridCol w:w="211"/>
        <w:gridCol w:w="826"/>
        <w:gridCol w:w="109"/>
        <w:gridCol w:w="109"/>
        <w:gridCol w:w="109"/>
        <w:gridCol w:w="109"/>
        <w:gridCol w:w="211"/>
        <w:gridCol w:w="721"/>
        <w:gridCol w:w="109"/>
        <w:gridCol w:w="109"/>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costs incurred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capitalized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net of amounts capitalized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TRANSACTIONS: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note receivable repaid with property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dividend reinvestment plan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 issued with acquisition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 redeemed for common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767" w:type="dxa"/>
        <w:jc w:val="center"/>
        <w:tblInd w:w="0" w:type="dxa"/>
        <w:tblLayout w:type="fixed"/>
        <w:tblCellMar>
          <w:top w:w="28" w:type="dxa"/>
          <w:left w:w="28" w:type="dxa"/>
          <w:bottom w:w="28" w:type="dxa"/>
          <w:right w:w="28" w:type="dxa"/>
        </w:tblCellMar>
      </w:tblPr>
      <w:tblGrid>
        <w:gridCol w:w="2495"/>
        <w:gridCol w:w="2191"/>
        <w:gridCol w:w="2199"/>
        <w:gridCol w:w="211"/>
        <w:gridCol w:w="826"/>
        <w:gridCol w:w="109"/>
        <w:gridCol w:w="109"/>
        <w:gridCol w:w="109"/>
        <w:gridCol w:w="109"/>
        <w:gridCol w:w="211"/>
        <w:gridCol w:w="826"/>
        <w:gridCol w:w="109"/>
        <w:gridCol w:w="109"/>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(1)Restricted cash balances are included in "prepaid expenses and other assets"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6, 2026, we purchased the fee interest under one of our ground leases at Bethesda Row for $2.5 million.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12, 2026, we acquired the fee interest in Congressional North Shopping Center, a 217,000 square foot, grocery-anchored shopping center in Rockville, Maryland for $72.3 million. This purchase was completed in a multi-step transaction, and was funded with a combination of cash and the issuance of 2,513 downREIT operating partnership units, net of the repayment of two mortgage notes receivable that were included on our consolidated balance sheets at December 31, 2025. Approximately $5.2 million and $0.1 million of net assets acquired were allocated to other assets for "acquired lease costs" and "above market leases," respectively, and $1.5 million of net assets acquired were allocated to other liabilities for "below market leases."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17, 2026 we acquired the fee interest in an 88,000 square foot retail building and a parking garage, which will be operated as part of Kingstowne Towne Center, for $19.7 million. Approximately $2.2 million and $0.2 million of net assets acquired were allocated to other assets for "acquired lease costs" and "above market leases," respectively, and $2.8 million of net assets acquired were allocated to other liabilities for "below market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sold a residential building at our Santana Row property, our Barcroft Plaza property, our Courthouse Center property, and a building at our CocoWalk property for a combined sales price of $224.6 million, resulting in a net gain of $112.8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17, 2026 we repaid our $400.0 million 1.25% senior unsecured notes at maturity.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19, 2026 we borrowed $250.0 million under the unsecured term loan agreement that we entered into on November 17, 2025. See Note 5 of our Annual Report on Form 10-K for the year ended December 31, 2025 for additional details regarding this term loan.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we repaid two mortgage loans totaling $2.1 million at our Hoboken property, at par.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14, 2026, we amended and restated our revolving credit facility, increasing the borrowing capacity from $1.25 billion to $1.4 billion, lowering the spread over SOFR from 77.5 basis points to 72.5 basis points based on our current credit rating, and extending the maturity date to April 12, 2030, plus two six-month extensions, at our option. In addition, we have an option to increase the credit facility through an accordion feature to $2.0 billion. The revolving credit facility requires an annual facility fee which is $2.1 million under the amended credit agreement, based on our current credit rating.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maximum amount of borrowings outstanding under our revolving credit facility was $427.7 million and $699.5 million, respectively. The weighted average amount of borrowings outstanding was $359.5 million and $378.3 million, respectively, and and the weighted average interest rate, before amortization of debt fees, was 4.4% for both the three and six months ended June 30, 2026. At June 30, 2026, our revolving credit facility had $286.2 million outstanding.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unsecured term loans, and certain notes require us to comply with various financial covenants, including the maintenance of minimum shareholders' equity and debt coverage ratios and a maximum ratio of debt to net worth. As of June 30, 2026, we were in compliance with all default related debt covenants.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Exchangeable Senior Notes</w:t>
      </w:r>
    </w:p>
    <w:p>
      <w:pPr>
        <w:pStyle w:val="TextBody"/>
        <w:bidi w:val="0"/>
        <w:spacing w:lineRule="auto" w:line="288" w:before="60" w:after="283"/>
        <w:jc w:val="left"/>
        <w:rPr/>
      </w:pPr>
      <w:r>
        <w:rPr>
          <w:rFonts w:ascii="Times New Roman;serif" w:hAnsi="Times New Roman;serif"/>
          <w:b w:val="false"/>
          <w:color w:val="000000"/>
          <w:sz w:val="20"/>
        </w:rPr>
        <w:t>On January 11, 2024, our Operating Partnership issued $485.0 million aggregate principal amount of 3.25% Exchangeable Senior Notes due 2029 (the “Notes”) in a private placement. The Notes bear interest at an annual rate of 3.25%, payable semiannually in arrears on January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July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beginning July 15, 2024. The Notes mature on January 15, 2029, unless earlier exchanged, purchased or redeemed. Interest expense related to these Notes was $4.6 million for both the three months ended June 30, 2026 and 2025, and includes debt issuance cost amortization of $0.7 million for both periods. Interest expense related to these Notes was $9.2 million for both the six months ended June 30, 2026 and 2025, and includes debt issuance cost amortization of $1.3 million for both periods. Including the debt issuance cost amortization, the current effective interest rate on these Notes is approximately 3.9%. The unamortized debt issuance costs related to the Notes were $6.8 million at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Prior to the close of business on July 15, 2028, the Notes will be exchangeable at the option of holders only upon certain circumstances and during certain periods. On or after July 15, 2028, until the close of business on the second scheduled trading day immediately preceding the maturity date of the Notes, holders may exchange their Notes at any time. The Operating Partnership will settle exchanges of the Notes by delivering cash up to the principal amount of the Notes exchanged, and if applicable, cash, common shares of the Trust, or a combination thereof at our option, in respect of the remainder, if any, of the exchange obligation in excess of the principal amount. If we elect to settle any portion of the exchange obligation in excess of the principal amount with shares of the Trust, an equivalent number of common units will be issued by the Operating Partnership to the Trust. The exchange rate initially equals 8.1436 common shares per $1,000 principal amount of the Notes. The initial exchange rate is subject to adjustment upon the occurrence of certain events, including in the event of a payment of a quarterly common dividend in excess of $1.09 per share, but will not be adjusted for any accrued and unpaid interest. While our quarterly common dividend per share currently exceeds $1.09, the exchange rate has not materially changed.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Notes, we entered into privately negotiated capped call transactions with certain of the initial purchasers of the Notes or their affiliates or other financial institutions. The capped call transactions cover, subject to customary adjustments, the number of our common shares that initially underlie the Notes. The capped call transactions are expected generally to reduce the potential dilution to our common shares upon exchange of any Notes and/or offset any cash payments we are required to make in excess of the principal amount of the Notes, with such reduction and/or offset subject to a cap. The cap price of the capped call transaction initially is approximately $143.26 per share, and is subject to certain adjustments under the terms of the capped call transactions.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5—FAIR VALUE OF FINANCIAL INSTRUMENTS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pStyle w:val="TextBody"/>
        <w:bidi w:val="0"/>
        <w:spacing w:before="0" w:after="0"/>
        <w:jc w:val="left"/>
        <w:rPr/>
      </w:pPr>
      <w:r>
        <w:rPr/>
      </w:r>
    </w:p>
    <w:tbl>
      <w:tblPr>
        <w:tblW w:w="9059" w:type="dxa"/>
        <w:jc w:val="left"/>
        <w:tblInd w:w="0" w:type="dxa"/>
        <w:tblLayout w:type="fixed"/>
        <w:tblCellMar>
          <w:top w:w="28" w:type="dxa"/>
          <w:left w:w="28" w:type="dxa"/>
          <w:bottom w:w="28" w:type="dxa"/>
          <w:right w:w="28" w:type="dxa"/>
        </w:tblCellMar>
      </w:tblPr>
      <w:tblGrid>
        <w:gridCol w:w="1032"/>
        <w:gridCol w:w="906"/>
        <w:gridCol w:w="91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849" w:type="dxa"/>
            <w:gridSpan w:val="3"/>
            <w:vMerge w:val="continue"/>
            <w:tcBorders/>
            <w:tcMar>
              <w:top w:w="0" w:type="dxa"/>
              <w:left w:w="0" w:type="dxa"/>
              <w:bottom w:w="0" w:type="dxa"/>
              <w:right w:w="0" w:type="dxa"/>
            </w:tcMar>
            <w:vAlign w:val="center"/>
          </w:tcPr>
          <w:p>
            <w:pPr>
              <w:pStyle w:val="Normal"/>
              <w:bidi w:val="0"/>
              <w:jc w:val="left"/>
              <w:rPr/>
            </w:pPr>
            <w:r>
              <w:rPr/>
            </w:r>
          </w:p>
        </w:tc>
        <w:tc>
          <w:tcPr>
            <w:tcW w:w="62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Mortgages and notes payable,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 and debentures,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Exchangeable senior notes,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our outstanding interest rate swap agreements as of June 30, 2026: </w:t>
      </w:r>
    </w:p>
    <w:tbl>
      <w:tblPr>
        <w:tblW w:w="10205" w:type="dxa"/>
        <w:jc w:val="left"/>
        <w:tblInd w:w="0" w:type="dxa"/>
        <w:tblLayout w:type="fixed"/>
        <w:tblCellMar>
          <w:top w:w="28" w:type="dxa"/>
          <w:left w:w="28" w:type="dxa"/>
          <w:bottom w:w="28" w:type="dxa"/>
          <w:right w:w="28" w:type="dxa"/>
        </w:tblCellMar>
      </w:tblPr>
      <w:tblGrid>
        <w:gridCol w:w="552"/>
        <w:gridCol w:w="381"/>
        <w:gridCol w:w="383"/>
        <w:gridCol w:w="109"/>
        <w:gridCol w:w="109"/>
        <w:gridCol w:w="109"/>
        <w:gridCol w:w="109"/>
        <w:gridCol w:w="109"/>
        <w:gridCol w:w="249"/>
        <w:gridCol w:w="728"/>
        <w:gridCol w:w="128"/>
        <w:gridCol w:w="109"/>
        <w:gridCol w:w="109"/>
        <w:gridCol w:w="109"/>
        <w:gridCol w:w="628"/>
        <w:gridCol w:w="628"/>
        <w:gridCol w:w="630"/>
        <w:gridCol w:w="109"/>
        <w:gridCol w:w="109"/>
        <w:gridCol w:w="109"/>
        <w:gridCol w:w="417"/>
        <w:gridCol w:w="322"/>
        <w:gridCol w:w="806"/>
        <w:gridCol w:w="109"/>
        <w:gridCol w:w="109"/>
        <w:gridCol w:w="109"/>
        <w:gridCol w:w="578"/>
        <w:gridCol w:w="524"/>
        <w:gridCol w:w="526"/>
        <w:gridCol w:w="109"/>
        <w:gridCol w:w="109"/>
        <w:gridCol w:w="109"/>
        <w:gridCol w:w="236"/>
        <w:gridCol w:w="455"/>
        <w:gridCol w:w="181"/>
      </w:tblGrid>
      <w:tr>
        <w:trPr/>
        <w:tc>
          <w:tcPr>
            <w:tcW w:w="55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 of Related Swap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 million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4.17 </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Hoboken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the interest rate swap agreements are based on the estimated amounts we would receive or pay to terminate the contracts at the reporting date and are determined using interest rate pricing models and interest rate related observable inputs. For the three and six months ended June 30, 2026, the value of our interest rate swaps increased $2.7 million and $5.4 million, respectively (including $0.6 million and $1.3 million, respectively, reclassified from other comprehensive income as a decrease to interest expense). A summary of our net financial assets that are measured at fair value on a recurring basis, by level within the fair value hierarchy is as follows:</w:t>
      </w:r>
    </w:p>
    <w:tbl>
      <w:tblPr>
        <w:tblW w:w="10205" w:type="dxa"/>
        <w:jc w:val="left"/>
        <w:tblInd w:w="0" w:type="dxa"/>
        <w:tblLayout w:type="fixed"/>
        <w:tblCellMar>
          <w:top w:w="28" w:type="dxa"/>
          <w:left w:w="28" w:type="dxa"/>
          <w:bottom w:w="28" w:type="dxa"/>
          <w:right w:w="28" w:type="dxa"/>
        </w:tblCellMar>
      </w:tblPr>
      <w:tblGrid>
        <w:gridCol w:w="442"/>
        <w:gridCol w:w="388"/>
        <w:gridCol w:w="39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6"/>
      </w:tblGrid>
      <w:tr>
        <w:trPr/>
        <w:tc>
          <w:tcPr>
            <w:tcW w:w="44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Three of our equity method investees have interest rate swaps which qualify for cash flow hedge accounting. For the three and six months ended June 30, 2026, our share of the change in fair value of the related swaps included in "accumulated other comprehensive income" was $0.5 million and $0.9 million, respectively.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6—COMMITMENTS AND CONTINGENCIES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are sometimes involved in lawsuits, warranty claims, and environmental matters arising in the ordinary course of business. Management makes assumptions and estimates concerning the likelihood and amount of any potential loss relating to these matters.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certain partnership agreements, the partners have the right to exchange their operating partnership units for cash or common shares, at our option. As of June 30, 2026, a total of 526,408 downREIT operating partnership units were outstanding which had a total fair value of approximately $65.0 million, which is calculated by multiplying the outstanding number of downREIT partnership units by our closing stock price on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7—SHAREHOLDERS’ EQUITY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dividends declared and paid per share:</w:t>
      </w:r>
    </w:p>
    <w:p>
      <w:pPr>
        <w:pStyle w:val="TextBody"/>
        <w:bidi w:val="0"/>
        <w:spacing w:before="0" w:after="0"/>
        <w:jc w:val="left"/>
        <w:rPr/>
      </w:pPr>
      <w:r>
        <w:rPr/>
      </w:r>
    </w:p>
    <w:tbl>
      <w:tblPr>
        <w:tblW w:w="10080" w:type="dxa"/>
        <w:jc w:val="left"/>
        <w:tblInd w:w="0" w:type="dxa"/>
        <w:tblLayout w:type="fixed"/>
        <w:tblCellMar>
          <w:top w:w="28" w:type="dxa"/>
          <w:left w:w="28" w:type="dxa"/>
          <w:bottom w:w="28" w:type="dxa"/>
          <w:right w:w="28" w:type="dxa"/>
        </w:tblCellMar>
      </w:tblPr>
      <w:tblGrid>
        <w:gridCol w:w="1764"/>
        <w:gridCol w:w="1550"/>
        <w:gridCol w:w="15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 Series C Cumulative Redeemable Preferred shares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(1)Amount represents dividends per depository share, each representing 1/1000th of a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an at-the-market ("ATM") equity program under which we may from time to time offer and sell common shares up to an aggregate offering price of $750.0 million. Our ATM program also allows shares to be sold through forward sales contracts. We intend to use the net proceeds to fund potential acquisition opportunities, fund our development and redevelopment pipeline, repay indebtedness and/or for general corporate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issued 493,374 common shares at a weighted average price per share of $123.92 for net cash proceeds of $60.4 million including paying $0.6 million in commissions and $0.2 million in additional offering expenses related to the sales of these common shares. We have the remaining capacity to issue up to $688.9 million million in common shares under our ATM equity program as of June 30, 2026.</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NOTE 8—SHARE-BASED COMPENSATION PLANS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summary of share-based compensation expense included in net income is as follows:</w:t>
      </w:r>
    </w:p>
    <w:tbl>
      <w:tblPr>
        <w:tblW w:w="10205" w:type="dxa"/>
        <w:jc w:val="center"/>
        <w:tblInd w:w="0" w:type="dxa"/>
        <w:tblLayout w:type="fixed"/>
        <w:tblCellMar>
          <w:top w:w="28" w:type="dxa"/>
          <w:left w:w="28" w:type="dxa"/>
          <w:bottom w:w="28" w:type="dxa"/>
          <w:right w:w="28" w:type="dxa"/>
        </w:tblCellMar>
      </w:tblPr>
      <w:tblGrid>
        <w:gridCol w:w="1766"/>
        <w:gridCol w:w="1543"/>
        <w:gridCol w:w="1549"/>
        <w:gridCol w:w="211"/>
        <w:gridCol w:w="616"/>
        <w:gridCol w:w="109"/>
        <w:gridCol w:w="109"/>
        <w:gridCol w:w="109"/>
        <w:gridCol w:w="109"/>
        <w:gridCol w:w="211"/>
        <w:gridCol w:w="616"/>
        <w:gridCol w:w="109"/>
        <w:gridCol w:w="109"/>
        <w:gridCol w:w="109"/>
        <w:gridCol w:w="109"/>
        <w:gridCol w:w="109"/>
        <w:gridCol w:w="132"/>
        <w:gridCol w:w="132"/>
        <w:gridCol w:w="255"/>
        <w:gridCol w:w="749"/>
        <w:gridCol w:w="132"/>
        <w:gridCol w:w="109"/>
        <w:gridCol w:w="109"/>
        <w:gridCol w:w="109"/>
        <w:gridCol w:w="211"/>
        <w:gridCol w:w="616"/>
        <w:gridCol w:w="158"/>
      </w:tblGrid>
      <w:tr>
        <w:trPr/>
        <w:tc>
          <w:tcPr>
            <w:tcW w:w="176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312" w:type="dxa"/>
            <w:gridSpan w:val="6"/>
            <w:tcBorders/>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312" w:type="dxa"/>
            <w:gridSpan w:val="6"/>
            <w:tcBorders/>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448" w:type="dxa"/>
            <w:gridSpan w:val="9"/>
            <w:tcBorders/>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Grants of common shares, restricted stock units, and options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9—EARNINGS PER SHARE AND UNIT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calculated earnings per share (“EPS”) and earnings per unit ("EPU") under the two-class method. The two-class method is an earnings allocation methodology whereby EPS and EPU for each class of common stock and partnership units, respectively, and participating securities is calculated according to dividends or distributions declared and participation rights in undistributed earnings. For the three and six months ended June 30, 2026 and 2025, we had 0.3 million weighted average unvested shares and units outstanding, which are considered participating securities. Therefore, we have allocated our earnings for basic and diluted EPS and EPU between common shares and units and unvested shares and units; the portion of earnings allocated to the unvested shares and units is reflected as “earnings allocated to unvested shares” or "earnings allocated to unvested units" in the reconciliations below.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potentially issuable shares were excluded from the diluted EPS and EPU calculations because their impact is anti-dilutive:</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exercise of 3,019 stock options for the three months ended June 30, 2025, and 1,190 stock options for the six months ended June 30, 2026 and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conversions of downREIT operating partnership units for the the three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conversions of 5.417% Series 1 Cumulative Convertible Preferred Shares and units for the three months ended June 30, 2026, and the six months ended June 30, 2026 and 2025,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issuance of 0.5 million shares and units issuable under common share forward sales agreements for the period they were outstanding during the six months ended June 30, 2025.</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Potentially issuable shares and units in exchange for the 3.25% Exchangeable Senior Notes due 2029 for both the three and six months ended June 30, 2026 and 2025, did not have a dilutive effect on the diluted EPS and EPU calculations.</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Federal Realty Investment Trust Earnings per Share</w:t>
      </w:r>
    </w:p>
    <w:tbl>
      <w:tblPr>
        <w:tblW w:w="10205" w:type="dxa"/>
        <w:jc w:val="left"/>
        <w:tblInd w:w="0" w:type="dxa"/>
        <w:tblLayout w:type="fixed"/>
        <w:tblCellMar>
          <w:top w:w="28" w:type="dxa"/>
          <w:left w:w="28" w:type="dxa"/>
          <w:bottom w:w="28" w:type="dxa"/>
          <w:right w:w="28" w:type="dxa"/>
        </w:tblCellMar>
      </w:tblPr>
      <w:tblGrid>
        <w:gridCol w:w="1671"/>
        <w:gridCol w:w="1402"/>
        <w:gridCol w:w="1408"/>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5"/>
      </w:tblGrid>
      <w:tr>
        <w:trPr/>
        <w:tc>
          <w:tcPr>
            <w:tcW w:w="167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share dividends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for common shareholders, basic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attributable to downREIT operating partnership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Add: Dividends on 5.417% Series 1 Cumulative Convertible Preferred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Shares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shareholders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Federal Realty OP LP Earnings per Unit</w:t>
      </w:r>
    </w:p>
    <w:tbl>
      <w:tblPr>
        <w:tblW w:w="10205" w:type="dxa"/>
        <w:jc w:val="left"/>
        <w:tblInd w:w="0" w:type="dxa"/>
        <w:tblLayout w:type="fixed"/>
        <w:tblCellMar>
          <w:top w:w="28" w:type="dxa"/>
          <w:left w:w="28" w:type="dxa"/>
          <w:bottom w:w="28" w:type="dxa"/>
          <w:right w:w="28" w:type="dxa"/>
        </w:tblCellMar>
      </w:tblPr>
      <w:tblGrid>
        <w:gridCol w:w="1706"/>
        <w:gridCol w:w="1438"/>
        <w:gridCol w:w="1445"/>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6"/>
      </w:tblGrid>
      <w:tr>
        <w:trPr/>
        <w:tc>
          <w:tcPr>
            <w:tcW w:w="170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unit data)</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unit 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from operations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unvested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 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Income attributable to downREIT operating partnership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Add: Dividends on 5.417% Series 1 Cumulative Convertible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 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outstanding, 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DownREIT operating partnership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20"/>
              </w:rPr>
            </w:pPr>
            <w:r>
              <w:rPr>
                <w:rFonts w:ascii="Times New Roman;serif" w:hAnsi="Times New Roman;serif"/>
                <w:b w:val="false"/>
                <w:color w:val="000000"/>
                <w:sz w:val="20"/>
              </w:rPr>
              <w:t>5.417% Series 1 Cumulative Convertible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units outstanding, 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BASIC: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UNIT, 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for common unit holders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w:t>
      </w:r>
      <w:bookmarkStart w:id="0" w:name="i3bef4b2d4bbf4c0b9d004a51a51d748b_611"/>
      <w:bookmarkEnd w:id="0"/>
      <w:r>
        <w:rPr>
          <w:rFonts w:ascii="Times New Roman;serif" w:hAnsi="Times New Roman;serif"/>
          <w:b/>
          <w:color w:val="000000"/>
          <w:sz w:val="20"/>
        </w:rPr>
        <w:t>SUBSEQUENT EVENTS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 2026, we repaid six mortgage loans totaling $10.5 million at our Hoboken property, at par.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30, 2026, we repaid a $10.7 million mortgage loan at our Bell Gardens property, at par.</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00" w:after="283"/>
        <w:jc w:val="left"/>
        <w:rPr/>
      </w:pPr>
      <w:r>
        <w:rPr>
          <w:rFonts w:ascii="Times New Roman;serif" w:hAnsi="Times New Roman;serif"/>
          <w:b w:val="false"/>
          <w:color w:val="000000"/>
          <w:sz w:val="20"/>
        </w:rPr>
        <w:t xml:space="preserve">The following discussion should be read in conjunction with the consolidated interim financial statements and notes thereto appearing in Item 1 of this report and the more detailed information contained in our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filed with the Securities and Exchange Commission (the “SEC”) on February 12, 2026.</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included in this Quarterly Report on Form 10-Q are forward-looking statements. Those statements include statements regarding the intent, belief or current expectations of the Company and members of our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some of the risks and uncertainties, although not all risks and uncertainties, that could cause our actual results to differ materially from those presented in our forward-looking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our tenants will not pay rent, may vacate early or may file for bankruptcy or that we may be unable to renew leases or re-let space at favorable rents as leases expire or to fill existing vacancy;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212529"/>
        </w:rPr>
        <w:t>•</w:t>
      </w:r>
      <w:r>
        <w:rPr>
          <w:rFonts w:ascii="Times New Roman;serif" w:hAnsi="Times New Roman;serif"/>
          <w:b w:val="false"/>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general economic conditions, including inflation, tariffs,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related to the Trust's status as a real estate investment trust, commonly referred to as a REIT, for federal income tax purposes, such as the existence of complex tax regulations relating to the Trust's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related to natural disasters, climate change and public health crises (such as worldwide pandemics),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Given these uncertainties, readers are cautioned not to place undue reliance on any forward-looking statements that we make, including those in this Quarterly Report on Form 10-Q. You should carefully review the risks and the risk factors included in our Annual Report on Form 10-K for the year ended December 31, 2025 and under Part II, Item 1A in this Quarterly Report on Form 10-Q, before making any investments in us.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Federal Realty Investment Trust is a leader in the ownership, operation, and redevelopment of high-quality retail-based properties located primarily in major coastal markets and select underserved regions that we believe have strong economic and demographic fundamentals. Founded in 1962, our mission is to deliver long-term, sustainable growth through investing in communities where we believe retail demand exceeds supply. This includes a portfolio of open-air shopping centers and mixed-use destinations, which we believe reflect our ability to create distinctive, high-performing environments that serve as vibrant destinations for their communities.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Parent Company, which is a REIT, conducts substantially all of its operations and owns substantially all of its assets through the Operating Partnership. The Parent Company owns 100% of the limited liability company interests of, is the sole member of and exercises exclusive control over Federal Realty GP LLC, which is the sole general partner of the Operating Partnership. The Parent Company does not expect to have substantial assets or liabilities other than through its investment in the Operating Partnership. Unless stated otherwise or the context otherwise requires, "we," "our," and "us" means the Trust and its business and operations conducted through its directly and indirectly owned subsidiaries, including the Operating Partnership.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owned or had a majority interest in community and neighborhood shopping centers and mixed-use properties which are operated as 103 predominantly retail real estate projects comprising approximately 28.8 million commercial square feet. In total, the real estate projects were 96.1% leased and 93.8% occupied at June 30, 2026.</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General Economic Conditions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Significant uncertainty continues within the macro-economic and political environment including inflation risk, changes in interest rates, geopolitical instability, changes in tariffs and their impact on trade and prices, increases or decreases in federal and state government spending, and potentially worsening economic conditions, which presents risks for our business and tenants. We continue to monitor and address risks related to the general state of the economy. We believe the actions we have taken to maintain a strong financial position and reinforce our liquidity will continue to mitigate the negative short term impacts of the current environment. The extent of the future effects on our business, results of operations, cash flows, and growth strategies is highly uncertain and will ultimately depend on future developments, none of which can be predicted.</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further discussion of the impact of current economic conditions on our business throughout Item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critical accounting policies disclosed in “Management’s Discussion and Analysis of Financial Condition and Results of Operations” in our 2025 Annual Report on Form 10-K.</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Property Acquisitions and Dispositions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6, 2026, we purchased the fee interest under one of our ground leases at Bethesda Row for $2.5 million.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12, 2026, we acquired the fee interest in Congressional North Shopping Center, a 217,000 square foot, grocery-anchored shopping center in Rockville, Maryland for $72.3 million. This purchase was completed in a multi-step transaction, and was funded with a combination of cash and the issuance of 2,513 downREIT operating partnership units, net of the repayment of two mortgage notes receivable that were included on our consolidated balance sheets at December 31, 2025. Approximately $5.2 million and $0.1 million of net assets acquired were allocated to other assets for "acquired lease costs" and "above market leases," respectively, and $1.5 million of net assets acquired were allocated to other liabilities for "below market leases."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17, 2026 we acquired the fee interest in an 88,000 square foot retail building and a parking garage, which will be operated as part of Kingstowne Towne Center, for $19.7 million. Approximately $2.2 million and $0.2 million of net assets acquired were allocated to other assets for "acquired lease costs" and "above market leases," respectively, and $2.8 million of net assets acquired were allocated to other liabilities for "below market leases."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sold a residential building at our Santana Row property, our Barcroft Plaza property, our Courthouse Center property, and a building at our CocoWalk property for a combined sales price of $224.6 million, resulting in a net gain of $112.8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Debt and Equity Transactions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February 19, 2026 we borrowed $250.0 million under the unsecured term loan agreement that we entered into on November 17, 2025. See Note 5 of our Annual Report on Form 10-K for the year ended December 31, 2025 for additional details regarding this term loan.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2026, we repaid the following debt, at par:</w:t>
      </w:r>
    </w:p>
    <w:tbl>
      <w:tblPr>
        <w:tblW w:w="5904" w:type="dxa"/>
        <w:jc w:val="left"/>
        <w:tblInd w:w="0" w:type="dxa"/>
        <w:tblLayout w:type="fixed"/>
        <w:tblCellMar>
          <w:top w:w="28" w:type="dxa"/>
          <w:left w:w="28" w:type="dxa"/>
          <w:bottom w:w="28" w:type="dxa"/>
          <w:right w:w="28" w:type="dxa"/>
        </w:tblCellMar>
      </w:tblPr>
      <w:tblGrid>
        <w:gridCol w:w="929"/>
        <w:gridCol w:w="813"/>
        <w:gridCol w:w="822"/>
        <w:gridCol w:w="311"/>
        <w:gridCol w:w="908"/>
        <w:gridCol w:w="160"/>
        <w:gridCol w:w="109"/>
        <w:gridCol w:w="109"/>
        <w:gridCol w:w="109"/>
        <w:gridCol w:w="478"/>
        <w:gridCol w:w="478"/>
        <w:gridCol w:w="678"/>
      </w:tblGrid>
      <w:tr>
        <w:trPr/>
        <w:tc>
          <w:tcPr>
            <w:tcW w:w="9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Payoff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Repayment Date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1.25% Senior Notes</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17, 2026</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Hoboken mortgage loans</w:t>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March 2026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Hoboken mortgage loans</w:t>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1, 2026</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Bell Gardens mortgage loan</w:t>
            </w:r>
          </w:p>
        </w:tc>
        <w:tc>
          <w:tcPr>
            <w:tcW w:w="3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July 30, 2026</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On April 14, 2026, we amended and restated our revolving credit facility, increasing the borrowing capacity from $1.25 billion to $1.4 billion, lowering the spread over SOFR from 77.5 basis points to 72.5 basis points based on our current credit rating, and extending the maturity date to April 12, 2030, plus two six-month extensions at our option. In addition, we have an option to increase the credit facility through an accordion feature to $2.0 billion.The revolving credit facility requires an annual facility fee which is $2.1 million under the amended credit agreement, based on our current credit rating. For additional information about the amendment and restatement of our revolving credit facility, see the Current Report on Form 8-K we filed on April 15,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maximum amount of borrowings outstanding under our revolving credit facility was $699.5 million. The weighted average amount of borrowings outstanding was $378.3 million and the weighted average interest rate, before amortization of debt fees, was 4.4% for the six months ended June 30, 2026. At June 30, 2026, our revolving credit facility had $286.2 million outstanding.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unsecured term loans, and certain notes require us to comply with various financial covenants, including the maintenance of minimum shareholders' equity and debt coverage ratios and a maximum ratio of debt to net worth. As of June 30, 2026, we were in compliance with all default related debt covenants.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 2 to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Capitalized Costs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$75 million and $4 million, respectively for both the six months ended June 30, 2026 and 2025. We capitalized external and internal costs related to other property improvements of $51 million and $3 million, respectively, for the six months ended June 30, 2026, and $51 million and $2 million, respectively, for the six months ended June 30, 2025. We capitalized external and internal costs related to leasing activities of $9 million and $3 million, respectively, for the six months ended June 30, 2026, and $11 million and $2 million, respectively, for the six months ended June 30, 2025. The amount of capitalized internal costs for salaries and related benefits for development and redevelopment activities, other property improvements, and leasing activities were $4 million, $2 million, and $3 million, respectively, for the six months ended June 30, 2026, and $4 million, $2 million, and $2 million, respectively, for the three months ended June 30, 2025. Total capitalized costs were $145 million for both the six months ended June 30, 2026 and 2025.</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long-term growth strategy is focused on growth in earnings, funds from operations, and cash flows primarily through a combination of the following:</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growth in our comparable property portfolio,</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expansion of our portfolio through property acquisitions, and</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growth in our portfolio from property redevelopments and expansions.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Although general economic impacts of elevated levels of inflation and higher interest rates are impacting us in the short-term, our long-term focus has not changed. See our Annual Report on Form 10-K filed on February 12, 2026, for additional discussion of our long-term strategies.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12529"/>
          <w:sz w:val="20"/>
        </w:rPr>
        <w:t xml:space="preserve">Our comparable property growth is primarily driven by increases in rental rates on new leases and lease renewals, changes in portfolio occupancy, and the redevelopment of those assets. Over the long-term, </w:t>
      </w:r>
      <w:r>
        <w:rPr>
          <w:rFonts w:ascii="Times New Roman;serif" w:hAnsi="Times New Roman;serif"/>
          <w:b w:val="false"/>
          <w:color w:val="000000"/>
          <w:sz w:val="20"/>
        </w:rPr>
        <w:t>the infill nature and strong demographics of our properties provide a strategic advantage allowing us to maintain relatively high occupancy and generally increase rental rates. We continue to experience strong demand for our commercial space as evidenced by the</w:t>
      </w:r>
      <w:r>
        <w:rPr>
          <w:color w:val="212529"/>
        </w:rPr>
        <w:t xml:space="preserve"> </w:t>
      </w:r>
      <w:r>
        <w:rPr>
          <w:rFonts w:ascii="Times New Roman;serif" w:hAnsi="Times New Roman;serif"/>
          <w:b w:val="false"/>
          <w:color w:val="212529"/>
          <w:sz w:val="20"/>
        </w:rPr>
        <w:t xml:space="preserve">2.8 </w:t>
      </w:r>
      <w:r>
        <w:rPr>
          <w:rFonts w:ascii="Times New Roman;serif" w:hAnsi="Times New Roman;serif"/>
          <w:b w:val="false"/>
          <w:color w:val="000000"/>
          <w:sz w:val="20"/>
        </w:rPr>
        <w:t>million</w:t>
      </w:r>
      <w:r>
        <w:rPr>
          <w:color w:val="212529"/>
        </w:rPr>
        <w:t xml:space="preserve"> </w:t>
      </w:r>
      <w:r>
        <w:rPr>
          <w:rFonts w:ascii="Times New Roman;serif" w:hAnsi="Times New Roman;serif"/>
          <w:b w:val="false"/>
          <w:color w:val="212529"/>
          <w:sz w:val="20"/>
        </w:rPr>
        <w:t xml:space="preserve">square feet of comparable space leasing we've completed in the last twelve months, and the </w:t>
      </w:r>
      <w:r>
        <w:rPr>
          <w:rFonts w:ascii="Times New Roman;serif" w:hAnsi="Times New Roman;serif"/>
          <w:b w:val="false"/>
          <w:color w:val="000000"/>
          <w:sz w:val="20"/>
        </w:rPr>
        <w:t>2.3%</w:t>
      </w:r>
      <w:r>
        <w:rPr>
          <w:color w:val="212529"/>
        </w:rPr>
        <w:t xml:space="preserve"> </w:t>
      </w:r>
      <w:r>
        <w:rPr>
          <w:rFonts w:ascii="Times New Roman;serif" w:hAnsi="Times New Roman;serif"/>
          <w:b w:val="false"/>
          <w:color w:val="212529"/>
          <w:sz w:val="20"/>
        </w:rPr>
        <w:t xml:space="preserve">spread between our leased rate of 96.1% and our occupied rate of 93.8%. </w:t>
      </w:r>
      <w:r>
        <w:rPr>
          <w:rFonts w:ascii="Times New Roman;serif" w:hAnsi="Times New Roman;serif"/>
          <w:b w:val="false"/>
          <w:color w:val="000000"/>
          <w:sz w:val="20"/>
        </w:rPr>
        <w:t xml:space="preserve">However, the effects of inflationary pressures and elevated interest rates continue to negatively impact our business with the largest impacts being higher interest costs, increased material costs, and higher operating costs. Additionally, significant impacts from tariffs or supply chain disruptions could also result in extended time frames and/or increased costs for completion of our projects and tenant build-outs, which could delay the commencement of rent payments under new leases. Similarly, if our tenants experience unexpected impacts of tariffs supporting their own products, staffing issues due to labor shortages, significant disruptions in supply chains, or are otherwise impacted by worsening economic conditions, their ability to pay rent may be adversely affected. We continue to monitor these macroeconomic developments and are working with our tenants and our vendors to limit the overall impact to our business.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believe the locations and nature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have several development projects in process being delivered as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on Santana West includes an eight story 369,000 square foot office building, which is expected to cost between $325 million and $335 million. All of the space is leased, of which 327,000 square feet is occupied.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Construction of a 258-unit residential project at Santana Row, which is expected to cost between $140 million and $148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Throughout the portfolio, we currently have redevelopment projects underway with a projected total cost of approximately $321 million that we expect to stabilize over the next several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above includes our best estimates based on information currently known, however, the completion of construction, final costs, and the timing of leasing and openings may be further impacted by the current environment including the duration and severity of the economic impacts of broader, as well as local, economic conditions, inflation, tariffs, higher interest rates, and higher operating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development of future phases of Assembly Row, Pike &amp; Rose, Santana Row, and other properties will be pursued opportunistically based on, among other things, market conditions, tenant demand, and our evaluation of whether those phases will generate an appropriate financial return.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continue to review acquisition opportunities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units in the Operating Partnership, as well as through assumed mortgages and property sales.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leasable commercial square feet in our properties was 96.1% leased and 93.8%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Lease Rollovers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we signed leases for a total of 852,000 square feet of retail space including 819,000 square feet of comparable space leases (leases for which there was a prior tenant) at an average rental increase of 15% on a cash basis. New leases for comparable spaces were signed for 376,000 square feet, with an average rental increase of 34% on a cash basis. Renewals for comparable spaces were signed for 444,000 square feet at a 5% average rental increase on a cash basis. Tenant improvements and incentives for comparable spaces were $27.04 per square foot, of which $57.52 per square foot was for new leases and $1.23 per square foot was for renewals for the three months ended June 30, 2026.</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signed leases for a total of 1,513,000 square feet of retail space including 1,468,000 square feet of comparable space leases (leases for which there was a prior tenant) at an average rental increase of 14% on a cash basis. New leases for comparable spaces were signed for 618,000 square feet, with an average rental increase of 30% on a cash basis. Renewals for comparable spaces were signed for 850,000 square feet at a 5% average rental increase on a cash basis. Tenant improvements and incentives for comparable spaces were $24.81 per square foot, of which $56.86 per square foot was for new leases and $1.48 per square foot was for renewals for the six months ended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rental increases associated with comparable spaces generally include all leases signed for retail space in arms-length transactions reflecting market leverage between landlords and tenants during the period, excluding leases at properties sold or under contract to be sold. The comparison between the rent for expiring leases and new leases is determined by including contractual rent on the expiring lease, including percentage rent considered to part of base rent, and the comparable annual rent and in some instances, projections of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Incentives include amounts paid to tenants as an inducement to sign a lease that do not represent building improvements. Costs related to tenant improvements require judgment by management in determining what are costs specific to the tenant and not deferred maintenance on the space.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past four years, we have executed comparable space leases for 2.0 to 2.4 million square feet of retail space each year and expect the volume in 2026 will be in line with these historical averages. Although we expect overall positive increases in annual rent for comparable spaces, changes in annual rent for any individual lease or combinations of individual leases reported in any particular period may be positive or negative and we can provide no assurance that the annual rents on comparable space leases will continue to increase at historical levels, if at all. A decline in current economic conditions could adversely impact our volume of leasing activity and the amount of rent we are able to charge to new or renewing tenants.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leases signed in 2026 generally become effective over the following two years though some may not become effective until 2029 and beyond. Further, there is risk that some new tenants will not ultimately take possession of their space and that tenants for both new and renewal leases may not pay all of their contractual rent due to operating, financing or other matters. However,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historical increases in rental rates do provide information about the tenant/landlord relationship and the potential increase we may achieve in rental income over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Comparable Properties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section, we have provided certain information on a “comparable property” basis. Information provided on a comparable property basis includes the results of properties that we owned and operated for the entirety of both periods being compared except for properties that are currently under development or are being repositioned for significant redevelopment and investment. For the three and six months ended June 30, 2026, all or a portion of 96 properties and 95 properties, respectively, were considered comparable properties and seven properties were considered non-comparable properties. For the six months ended June 30, 2026, two properties and two portions of properties were removed from comparable properties, as they were sold; all compared to the designations as of December 31, 2025. While there is judgment surrounding changes in designations, we typically move non-comparable properties to comparable properties once they have stabilized, which is typically considered 90% physical occupancy or when the growth expected from the redevelopment has been included in the comparable periods. We typically remove properties from comparable properties when the repositioning of the asset has commenced and has or is expected to have a significant impact on property operating income within the calendar year. Acquisitions are moved to comparable properties once we have owned the property for the entirety of comparable periods and the property is not under development or being repositioned for significant redevelopment and investment. </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 THREE MONTHS ENDED JUNE 30, 2026 AND 2025 </w:t>
      </w:r>
    </w:p>
    <w:tbl>
      <w:tblPr>
        <w:tblW w:w="9639"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343"/>
        <w:gridCol w:w="347"/>
        <w:gridCol w:w="316"/>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(1)Property operating income is a non-GAAP measure that consists of total property revenue,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three months ended June 30, 2026 and 2025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tbl>
      <w:tblPr>
        <w:tblW w:w="6144" w:type="dxa"/>
        <w:jc w:val="left"/>
        <w:tblInd w:w="0" w:type="dxa"/>
        <w:tblLayout w:type="fixed"/>
        <w:tblCellMar>
          <w:top w:w="28" w:type="dxa"/>
          <w:left w:w="28" w:type="dxa"/>
          <w:bottom w:w="28" w:type="dxa"/>
          <w:right w:w="28" w:type="dxa"/>
        </w:tblCellMar>
      </w:tblPr>
      <w:tblGrid>
        <w:gridCol w:w="1259"/>
        <w:gridCol w:w="1108"/>
        <w:gridCol w:w="1113"/>
        <w:gridCol w:w="211"/>
        <w:gridCol w:w="82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real estate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 increased $24.2 million, or 7.8%, to $335.7 million in the three months ended June 30, 2026 compared to $311.5 million in the three months ended June 30, 2025. The percentage occupied at our shopping centers was 93.8% and 93.6% at June 30, 2026 and 2025,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$20.6 million from acquisitions,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$7.7 million from comparable properties primarily related to a $3.1 million increase in lease termination fee income, higher rental rates of approximately $2.4 million, a $1.1 million increase in parking income, a $1.1 million increase in recoveries from tenants on higher occupancy and expenses, and higher average occupancy of approximately $1.0 million,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$5.6 million from non-comparable properties primarily driven by occupancy increases,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$9.7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 increased $5.3 million, or 5.4%, to $103.6 million in the three months ended June 30, 2026 compared to $98.3 million in the three months ended June 30, 2025. Changes in the components of property expenses are discussed below.</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Rental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Rental expenses increased $2.9 million, or 4.7%, to $64.5 million in the three months ended June 30, 2026 compared to $61.6 million in the three months ended June 30, 2025.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$2.9 million from acquisitions,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$1.6 million from non-comparable properties due primarily to openings at Pike &amp; Rose Phase IV and Santana West, and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$0.9 million from comparable properties due primarily to higher repairs and maintenance costs and higher utilities,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$2.5 million from property dispositions.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changes in rental income and rental expenses as discussed above, rental expenses as a percentage of rental income decreased to 19.8% in the three months ended June 30, 2026 from 20.4% in the three months ended June 30, 2025.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Real estate tax expense increased $2.4 million, or 6.5%, to $39.1 million in the three months ended June 30, 2026 compared to $36.7 million in the three months ended June 30, 2025. This increase is primarily due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$2.4 million from acquisitions,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$1.2 million from comparable properties due primarily to higher assessments,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$1.3 million from property dispositions.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increased $18.9 million, or 8.9%, to $232.1 million in the three months ended June 30, 2026 compared to $213.2 million in the three months ended June 30, 2025. This increase is primarily driven by acquisitions, openings at Santana West and Pike &amp; Rose Phase IV, and higher rental rates and average occupancy, partially offset by property dispositions.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Operating</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$1.5 million, or 13.0%, to $13.5 million in the three months ended June 30, 2026 compared to $11.9 million in the three months ended June 30, 2025. This increase is due primarily to higher personnel related costs.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$11.4 million, or 12.8%, to $100.6 million in the three months ended June 30, 2026 compared to $89.2 million in the three months ended June 30, 2025. This increase is due primarily to acquisitions, openings at Santana West, and our investment in comparable properties, partially offset by property dispositions.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Gain on Sale of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$20.6 million gain on sale of real estate for the three months ended June 30, 2026 is primarily due to the sale our Barcroft Plaza property and a building at our CocoWalk property.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$76.5 million gain on sale of real estate for the three months ended June 30, 2025 is primarily due to the sale of a residential building at Santana Row and our Hollywood Boulevard property.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New Market Tax Credit Transaction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$14.2 million new market tax credit transaction income for the three months ended June 30, 2025 is due to the sale of the new market tax credits related to Freedom Plaza.</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decreased $64.1 million, or 31.6%, to $138.7 million in the three months ended June 30, 2026 compared to $202.7 million in the three months ended June 30, 2025. This decrease is primarily driven by lower gains on sale of real estate, the prior year income related to the sale of new market tax credits, and property dispositions, partially offset by acquisitions, openings at Santana West, and higher rental rates and average occupancy.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$5.4 million, or 12.1%, to $50.0 million in the three months ended June 30, 2026 compared to $44.6 million in the three months ended June 30, 2025. This increase is due primarily to the following:</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an increase of $3.3 million due to higher weighted average borrowings,</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an increase of $1.8 million due to a higher overall weighted average borrowing rate, and</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 decrease of $0.3 million in capitalized interest.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interest costs were $52.7 million and $47.6 million in the three months ended June 30, 2026 and 2025, respectively. Capitalized interest was $2.7 million and $3.0 million for the three months ended June 30, 2026 and 2025, respectively.</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(Loss) income from partnerships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 decreased $1.6 million, or 173.4%, to a loss from partnerships of $0.7 million in the three months ended June 30, 2026 compared to income from partnerships of $0.9 million in the three months ended June 30, 2025. This decrease is primarily due to certain investments in partnerships that were written off during the period.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decreased $1.2 million, or 29.4%, to $2.9 million in the three months ended June 30, 2026 compared to $4.0 million in the three months ended June 30, 2025. This decrease is primarily attributable to the new market tax credit transaction income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 SIX MONTHS ENDED JUNE 30, 2026 AND 2025 </w:t>
      </w:r>
    </w:p>
    <w:tbl>
      <w:tblPr>
        <w:tblW w:w="9673" w:type="dxa"/>
        <w:jc w:val="left"/>
        <w:tblInd w:w="0" w:type="dxa"/>
        <w:tblLayout w:type="fixed"/>
        <w:tblCellMar>
          <w:top w:w="28" w:type="dxa"/>
          <w:left w:w="28" w:type="dxa"/>
          <w:bottom w:w="28" w:type="dxa"/>
          <w:right w:w="28" w:type="dxa"/>
        </w:tblCellMar>
      </w:tblPr>
      <w:tblGrid>
        <w:gridCol w:w="1537"/>
        <w:gridCol w:w="1347"/>
        <w:gridCol w:w="136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43"/>
        <w:gridCol w:w="347"/>
        <w:gridCol w:w="271"/>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amounts 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partnerships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the Trust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(1)Property operating income is a non-GAAP measure that consists of total property revenue,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 The reconciliation of operating income to property operating income for the six months ended June 30, 2026 and 2025 is as follows:</w:t>
      </w:r>
    </w:p>
    <w:tbl>
      <w:tblPr>
        <w:tblW w:w="6144" w:type="dxa"/>
        <w:jc w:val="left"/>
        <w:tblInd w:w="0" w:type="dxa"/>
        <w:tblLayout w:type="fixed"/>
        <w:tblCellMar>
          <w:top w:w="28" w:type="dxa"/>
          <w:left w:w="28" w:type="dxa"/>
          <w:bottom w:w="28" w:type="dxa"/>
          <w:right w:w="28" w:type="dxa"/>
        </w:tblCellMar>
      </w:tblPr>
      <w:tblGrid>
        <w:gridCol w:w="1259"/>
        <w:gridCol w:w="1108"/>
        <w:gridCol w:w="1113"/>
        <w:gridCol w:w="211"/>
        <w:gridCol w:w="826"/>
        <w:gridCol w:w="109"/>
        <w:gridCol w:w="109"/>
        <w:gridCol w:w="109"/>
        <w:gridCol w:w="109"/>
        <w:gridCol w:w="211"/>
        <w:gridCol w:w="826"/>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Property Revenues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revenue increased $56.1 million, or 9.0%, to $676.8 million in the six months ended June 30, 2026 compared to $620.7 million in the six months ended June 30, 2025. The percentage occupied at our shopping centers was 93.8% and 93.6% at June 30, 2026 and 2025, respectively. Rental income consists primarily of minimum rent, cost reimbursements from tenants and percentage rent, and is net of collectibility related adjustments. Other property income includes revenue for our Pike &amp; Rose hotel, parking income, and other incidental income from our properties. The increase in property revenues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$40.6 million from acquisitions,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$22.1 million from comparable properties primarily related to higher rental rates of approximately $7.8 million, a $5.5 million increase in lease termination fee income, a $4.9 million increase in recoveries from tenants on higher occupancy and expenses, a $2.5 million increase in parking income, and higher average occupancy of approximately $2.4 million,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$12.1 million from non-comparable properties primarily driven by occupancy increases,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$19.1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Total property expenses increased $14.6 million, or 7.2%, to $217.2 million in the six months ended June 30, 2026 compared to $202.7 million in the six months ended June 30, 2025. Changes in the components of property expenses are discussed below.</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Rental Expenses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Rental expenses increased $9.8 million, or 7.6%, to $139.2 million in the six months ended June 30, 2026 compared to $129.4 million in the six months ended June 30, 2025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 xml:space="preserve">an increase of $6.5 million from acquisitions, </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$5.3 million from comparable properties due primarily to higher snow removal costs and higher utilities, and</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$3.8 million from non-comparable properties due primarily to occupancy increases,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$4.9 million from property dispositions.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changes in rental income and rental expenses as discussed above, rental expenses as a percentage of rental income decreased to 21.1% in the six months ended June 30, 2026 from 21.4% in the six months ended June 30, 2025.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Real Estate Taxes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Real estate tax expense increased $4.8 million, or 6.6%, to $78.0 million in the six months ended June 30, 2026 compared to $73.2 million in the six months ended June 30, 2025 due primarily to the following:</w:t>
      </w:r>
    </w:p>
    <w:p>
      <w:pPr>
        <w:pStyle w:val="TextBody"/>
        <w:bidi w:val="0"/>
        <w:spacing w:lineRule="auto" w:line="288" w:before="100" w:after="283"/>
        <w:ind w:left="0" w:right="0" w:hanging="360"/>
        <w:jc w:val="left"/>
        <w:rPr/>
      </w:pPr>
      <w:r>
        <w:rPr>
          <w:color w:val="000000"/>
        </w:rPr>
        <w:t>•</w:t>
      </w:r>
      <w:r>
        <w:rPr>
          <w:rFonts w:ascii="Times New Roman;serif" w:hAnsi="Times New Roman;serif"/>
          <w:b w:val="false"/>
          <w:color w:val="000000"/>
          <w:sz w:val="20"/>
        </w:rPr>
        <w:t>an increase of $4.8 million from acquisitions,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 increase of $1.8 million from comparable properties due primarily to higher assessments, and</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an increase of $0.8 million from non-comparable properties due primarily to openings at Santana West,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 decrease of $2.5 million from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Property 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income increased $41.5 million, or 9.9%, to $459.6 million in the six months ended June 30, 2026 compared to $418.0 million in the six months ended June 30, 2025. This increase is primarily driven by acquisitions, higher rental rates and average occupancy, openings at Santana West and Pike &amp; Rose Phase IV, and higher lease termination fee income, partially offset by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 Operating</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$2.6 million, or 11.4%, to $25.4 million in the six months ended June 30, 2026 compared to $22.8 million in the six months ended June 30, 2025. This increase is due primarily to higher personnel related costs.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$23.7 million, or 13.4%, to $199.8 million in the six months ended June 30, 2026 compared to $176.2 million in the six months ended June 30, 2025. This increase is due primarily to acquisitions, openings at Santana West, and our investment in comparable properties, partially offset by property dispositions.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Gain on Sale of Real Estate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$113.3 million gain on sale of real estate for the six months ended June 30, 2026 is primarily due to the sale of a residential building at our Santana Row property, our Barcroft Plaza property, our Courthouse Center property, and a building at our CocoWalk property.</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$77.7 million gain on sale of real estate for the six months ended June 30, 2025 is primarily due to the sale of a residential building at Santana Row, our Hollywood Boulevard property, and a portion of our White Marsh Other property. </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New Market Tax Credit Transaction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$14.2 million new market tax credit transaction income for the six months ended June 30, 2025 is primarily due to sale of new market tax credits related to Freedom Plaza.</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Operating Income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increased $36.8 million, or 11.8%, to $347.6 million in the six months ended June 30, 2026 compared to $310.9 million in the six months ended June 30, 2025. This increase is primarily driven by higher gains on sale of real estate, higher rental rates and average occupancy, acquisitions, higher lease termination fee income, and openings at Santana West, partially offset by income related to the sale of new market tax credits in 2025, and property dispositions.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Interest Expense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$12.1 million, or 13.8%, to $99.1 million in the six months ended June 30, 2026 compared to $87.1 million in the six months ended June 30, 2025. This increase is due primarily to the following:</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an increase of $7.7 million due to higher weighted average borrowings,</w:t>
      </w:r>
    </w:p>
    <w:p>
      <w:pPr>
        <w:pStyle w:val="TextBody"/>
        <w:bidi w:val="0"/>
        <w:spacing w:lineRule="auto" w:line="288" w:before="60" w:after="283"/>
        <w:ind w:left="0" w:right="0" w:hanging="270"/>
        <w:jc w:val="left"/>
        <w:rPr/>
      </w:pPr>
      <w:r>
        <w:rPr>
          <w:color w:val="000000"/>
        </w:rPr>
        <w:t>•</w:t>
      </w:r>
      <w:r>
        <w:rPr>
          <w:rFonts w:ascii="Times New Roman;serif" w:hAnsi="Times New Roman;serif"/>
          <w:b w:val="false"/>
          <w:color w:val="000000"/>
          <w:sz w:val="20"/>
        </w:rPr>
        <w:t>a decrease of $2.2 million in capitalized interest, and</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an increase of $2.1 million due to a higher overall weighted average borrowing rate.</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Gross interest costs were $104.8 million and $94.9 million in the six months ended June 30, 2026 and 2025, respectively. Capitalized interest was $5.7 million and $7.9 million for the six months ended June 30, 2026 and 2025,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(Loss) income from partnerships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Income from partnerships decreased $1.6 million, or 146.5%, to a loss from partnerships of $0.5 million in the six months ended June 30, 2026 compared to income from partnerships of $1.1 million in the six months ended June 30, 2025. This decrease is primarily due to certain investments in partnerships that were written off during the period.</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decreased $2.0 million, or 29.6%, to $4.8 million in the six months ended June 30, 2026 compared to $6.9 million in the six months ended June 30, 2025. This decrease is primarily attributable to the new market tax credit transaction income in 2025.</w:t>
      </w:r>
    </w:p>
    <w:p>
      <w:pPr>
        <w:pStyle w:val="TextBody"/>
        <w:bidi w:val="0"/>
        <w:spacing w:before="10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Due to the nature of our business and strategy, we typically generate significant amounts of cash from operations which is largely paid to our common and preferred shareholders in the form of dividends because as a REIT, the Trust is generally required to make annual distributions to shareholders of at least 90% of our taxable income (cash dividends paid in the six months ended June 30, 2026 were approximately $199.1 million). Remaining cash flow from operations after regular debt service requirements (including debt service relating to additional or replacement debt, as well as scheduled debt maturities) and dividend payments is used to fund recurring and non-recurring capital projects (such as tenant improvements and redevelopments). We maintain an unsecured $1.4 billion revolving credit facility to fund short term cash flow needs and also look to the public and private debt and equity markets, joint venture relationships, and property dispositions to fund capital expenditures on a long-term basis.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2026, we sold properties for net sales proceeds of $220.1 million. On April 14, 2026, we amended and restated our revolving credit facility increasing the borrowing capacity from $1.25 billion to $1.4 billion, lowering the spread over SOFR from 77.5 basis points to 72.5 basis points based on our current credit rating, and extending the maturity date to April 12, 2030, plus two six-month extensions, at our option. In addition, we have an option to increase the credit facility through an accordion feature to $2.0 billion. Excluding the $21.2 million of mortgage loans that were repaid subsequent to June 30, 2026, we have $829.3 million of debt maturing through July 2027, of which $200.0 million is the mortgage loan secured by Bethesda Row, for which we have a one-year extension option to extend the maturity date to December 28, 2027.</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$107.2 million and $286.2 million outstanding on our $1.4 billion revolving credit facility. We also have the capacity to issue up to $688.9 million in common shares under our ATM equity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weighted average amount of borrowings outstanding on our revolving credit facility was $378.3 million, and the weighted average interest rate, before amortization of debt fees, was 4.4%.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overall capital requirements for the remainder of 2026 will depend on acquisition opportunities, the level and general timing of our redevelopment and development activities, and the overall economic environment. We currently have development and redevelopment projects in various stages of constructions with remaining costs of $304 million. We expect to incur the majority of these costs in the next two years. We expect overall capital costs (excluding acquisitions) to be at levels consistent with 2025. Year to date through July 2026, we've acquired two properties for $92.0 million, and continue to evaluate additional opportunities.</w:t>
      </w:r>
    </w:p>
    <w:p>
      <w:pPr>
        <w:pStyle w:val="TextBody"/>
        <w:bidi w:val="0"/>
        <w:spacing w:lineRule="auto" w:line="288" w:before="100" w:after="283"/>
        <w:jc w:val="left"/>
        <w:rPr/>
      </w:pPr>
      <w:r>
        <w:rPr>
          <w:rFonts w:ascii="Times New Roman;serif" w:hAnsi="Times New Roman;serif"/>
          <w:b w:val="false"/>
          <w:color w:val="000000"/>
          <w:sz w:val="20"/>
        </w:rPr>
        <w:t xml:space="preserve">We believe cash flow from operations, the cash </w:t>
      </w:r>
      <w:r>
        <w:rPr>
          <w:rFonts w:ascii="Times New Roman;serif" w:hAnsi="Times New Roman;serif"/>
          <w:b w:val="false"/>
          <w:color w:val="212529"/>
          <w:sz w:val="20"/>
        </w:rPr>
        <w:t xml:space="preserve">on our balance sheet, and our </w:t>
      </w:r>
      <w:r>
        <w:rPr>
          <w:rFonts w:ascii="Times New Roman;serif" w:hAnsi="Times New Roman;serif"/>
          <w:b w:val="false"/>
          <w:color w:val="000000"/>
          <w:sz w:val="20"/>
        </w:rPr>
        <w:t>$1.4 billion</w:t>
      </w:r>
      <w:r>
        <w:rPr>
          <w:color w:val="212529"/>
        </w:rPr>
        <w:t xml:space="preserve"> </w:t>
      </w:r>
      <w:r>
        <w:rPr>
          <w:rFonts w:ascii="Times New Roman;serif" w:hAnsi="Times New Roman;serif"/>
          <w:b w:val="false"/>
          <w:color w:val="212529"/>
          <w:sz w:val="20"/>
        </w:rPr>
        <w:t xml:space="preserve">revolving credit facility will allow us to continue to operate our business in the short-term. </w:t>
      </w:r>
      <w:r>
        <w:rPr>
          <w:rFonts w:ascii="Times New Roman;serif" w:hAnsi="Times New Roman;serif"/>
          <w:b w:val="false"/>
          <w:color w:val="000000"/>
          <w:sz w:val="20"/>
        </w:rPr>
        <w:t>Given our ability to access the capital markets, we also expect debt or equity financing to be available to us, although newly issued debt would likely be at higher interest rates than the debt we are refinancing. We also have the ability to delay the timing of certain development and redevelopment projects as well as limit future acquisitions, reduce our operating expenditures, or re-evaluate our dividend policy. We expect these sources of liquidity and opportunities for operating flexibility to allow us to meet our financial obligations over the long term. We intend to operate with and to maintain our long term commitment to a conservative capital structure that will allow us to maintain strong debt service coverage and fixed-charge coverage ratios as part of our commitment to investment-grade debt ratings.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Cash Flows</w:t>
      </w:r>
    </w:p>
    <w:tbl>
      <w:tblPr>
        <w:tblW w:w="9371" w:type="dxa"/>
        <w:jc w:val="left"/>
        <w:tblInd w:w="0" w:type="dxa"/>
        <w:tblLayout w:type="fixed"/>
        <w:tblCellMar>
          <w:top w:w="28" w:type="dxa"/>
          <w:left w:w="28" w:type="dxa"/>
          <w:bottom w:w="28" w:type="dxa"/>
          <w:right w:w="28" w:type="dxa"/>
        </w:tblCellMar>
      </w:tblPr>
      <w:tblGrid>
        <w:gridCol w:w="1905"/>
        <w:gridCol w:w="1677"/>
        <w:gridCol w:w="1682"/>
        <w:gridCol w:w="211"/>
        <w:gridCol w:w="826"/>
        <w:gridCol w:w="109"/>
        <w:gridCol w:w="109"/>
        <w:gridCol w:w="109"/>
        <w:gridCol w:w="109"/>
        <w:gridCol w:w="211"/>
        <w:gridCol w:w="826"/>
        <w:gridCol w:w="109"/>
        <w:gridCol w:w="109"/>
        <w:gridCol w:w="109"/>
        <w:gridCol w:w="109"/>
        <w:gridCol w:w="211"/>
        <w:gridCol w:w="796"/>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year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increased $8.6 million to $338.3 million during the six months ended June 30, 2026 from $329.7 million during the six months ended June 30, 2025. The increase was primarily due to higher net income after adjusting for non-cash items and gain on sale of real estate, offset by the timing of collections related to year end recovery billings.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decreased $106.4 million to $10.0 million during the six months ended June 30, 2026 from $116.3 million during the six months ended June 30, 2025. The change was primarily attributable to:</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$79.0 million increase in net proceeds from the sale of real estate primarily due to $220.1 million of net proceeds from the sale of a residential building at our Santana Row property, our Barcroft Plaza property, our Courthouse Center property, and a building at our CocoWalk property during the six months ended June 30, 2026, as compared to $141.2 million of net proceeds from the sale of a residential building at Santana Row, our Hollywood Boulevard property, and a portion of our White Marsh Other property during the six months ended June 30, 2025,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$35.0 million decrease in acquisition of real estate,</w:t>
      </w:r>
    </w:p>
    <w:p>
      <w:pPr>
        <w:pStyle w:val="TextBody"/>
        <w:bidi w:val="0"/>
        <w:spacing w:lineRule="auto" w:line="256"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$10.4 million increase in capital expenditures.</w:t>
      </w:r>
    </w:p>
    <w:p>
      <w:pPr>
        <w:pStyle w:val="TextBody"/>
        <w:bidi w:val="0"/>
        <w:spacing w:lineRule="auto" w:line="256" w:before="18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increased $186.1 million to $331.3 million during the six months ended June 30, 2026 from $145.2 million during the six months ended June 30, 2025. The increase was primarily attributable to:</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$400.0 million from the February 2026 repayment of our $400.0 million 1.25% senior unsecured notes at maturity,</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$48.3 million decrease in net borrowings on our revolving credit facility,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$5.9 million increase in dividends paid to common and preferred shareholders due to an increase to the common share dividend rate and an increase in the number of outstanding shares,</w:t>
      </w:r>
    </w:p>
    <w:p>
      <w:pPr>
        <w:pStyle w:val="TextBody"/>
        <w:bidi w:val="0"/>
        <w:spacing w:lineRule="auto" w:line="256" w:before="60" w:after="283"/>
        <w:jc w:val="left"/>
        <w:rPr>
          <w:rFonts w:ascii="Times New Roman;serif" w:hAnsi="Times New Roman;serif"/>
          <w:b w:val="false"/>
          <w:color w:val="000000"/>
          <w:sz w:val="20"/>
        </w:rPr>
      </w:pPr>
      <w:r>
        <w:rPr>
          <w:rFonts w:ascii="Times New Roman;serif" w:hAnsi="Times New Roman;serif"/>
          <w:b w:val="false"/>
          <w:color w:val="000000"/>
          <w:sz w:val="20"/>
        </w:rPr>
        <w:t>partially offset by</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$250.0 million in borrowings under our unsecured term loan in 2026 that we entered into during November 2025,</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$7.1 million decrease in distributions to and redemptions of noncontrolling interests primarily related to the redemption of 77,983 downREIT operating partnership units for $7.0 million during the six months ended June 30, 2025, and</w:t>
      </w:r>
    </w:p>
    <w:p>
      <w:pPr>
        <w:pStyle w:val="TextBody"/>
        <w:bidi w:val="0"/>
        <w:spacing w:lineRule="auto" w:line="256" w:before="60" w:after="283"/>
        <w:ind w:left="0" w:right="0" w:hanging="270"/>
        <w:jc w:val="left"/>
        <w:rPr/>
      </w:pPr>
      <w:r>
        <w:rPr>
          <w:color w:val="000000"/>
        </w:rPr>
        <w:t>•</w:t>
      </w:r>
      <w:r>
        <w:rPr>
          <w:rFonts w:ascii="Times New Roman;serif" w:hAnsi="Times New Roman;serif"/>
          <w:b w:val="false"/>
          <w:color w:val="000000"/>
          <w:sz w:val="20"/>
        </w:rPr>
        <w:t>a $6.0 million increase in net proceeds from the issuance of common shares under our ATM program.</w:t>
      </w:r>
    </w:p>
    <w:p>
      <w:pPr>
        <w:pStyle w:val="TextBody"/>
        <w:bidi w:val="0"/>
        <w:spacing w:before="60" w:after="283"/>
        <w:ind w:left="0" w:right="0" w:firstLine="90"/>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Financing Arrangements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total debt outstanding as of June 30, 2026:</w:t>
      </w:r>
    </w:p>
    <w:tbl>
      <w:tblPr>
        <w:tblW w:w="10205" w:type="dxa"/>
        <w:jc w:val="left"/>
        <w:tblInd w:w="0" w:type="dxa"/>
        <w:tblLayout w:type="fixed"/>
        <w:tblCellMar>
          <w:top w:w="28" w:type="dxa"/>
          <w:left w:w="28" w:type="dxa"/>
          <w:bottom w:w="28" w:type="dxa"/>
          <w:right w:w="28" w:type="dxa"/>
        </w:tblCellMar>
      </w:tblPr>
      <w:tblGrid>
        <w:gridCol w:w="887"/>
        <w:gridCol w:w="772"/>
        <w:gridCol w:w="776"/>
        <w:gridCol w:w="262"/>
        <w:gridCol w:w="262"/>
        <w:gridCol w:w="266"/>
        <w:gridCol w:w="109"/>
        <w:gridCol w:w="109"/>
        <w:gridCol w:w="109"/>
        <w:gridCol w:w="409"/>
        <w:gridCol w:w="1821"/>
        <w:gridCol w:w="227"/>
        <w:gridCol w:w="109"/>
        <w:gridCol w:w="109"/>
        <w:gridCol w:w="109"/>
        <w:gridCol w:w="438"/>
        <w:gridCol w:w="380"/>
        <w:gridCol w:w="895"/>
        <w:gridCol w:w="109"/>
        <w:gridCol w:w="109"/>
        <w:gridCol w:w="109"/>
        <w:gridCol w:w="519"/>
        <w:gridCol w:w="519"/>
        <w:gridCol w:w="521"/>
        <w:gridCol w:w="109"/>
        <w:gridCol w:w="161"/>
      </w:tblGrid>
      <w:tr>
        <w:trPr/>
        <w:tc>
          <w:tcPr>
            <w:tcW w:w="88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Debt</w:t>
            </w:r>
          </w:p>
        </w:tc>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w:t>
              <w:br/>
              <w:t>Debt</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Stated Interest Rate 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Mortgages payable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 Gardens (1)</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Bethesda Row (2)</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28,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Plaza El Segundo</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5,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Grove at Shrewsbury (East)</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1,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Azalea (3)(4)</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October 30, 2028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Brook 35</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 2029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Hoboken (24 Buildings) (5)</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49,761 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15, 2029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 Hoboken (10 Buildings) (6)</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to 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Chelsea</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519,445 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mortgages payable, net</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518,371 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Notes payable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$750 million term loan (3)(7)(9)</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20, 2028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(3)(7)</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12, 2030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$250 million term loan (3)(7)</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31, 2031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Various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Various through 2059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1,287,308 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notes payable, net</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1,282,856 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notes and debentures (7)</w:t>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Unsecured fixed rate</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7.48% debentures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15,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6.82% medium term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2027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5.375%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 2028</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3.25% exchangeable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January 15, 2029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3.20%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15, 2029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3.50%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June 1, 2030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4.50% notes</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1, 2044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3.625% notes</w:t>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 2046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2,979,200 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unamortized debt issuance costs and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senior notes and debentures, net</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2,966,685 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debt, net</w:t>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4,767,912 </w:t>
            </w:r>
          </w:p>
        </w:tc>
        <w:tc>
          <w:tcPr>
            <w:tcW w:w="2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(1)On July 30, 2026, we repaid this mortgage loan, at par.</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(2)We have one one-year extension, at our option to extend the maturity date of this mortgage loan to December 28, 2027.</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(3)Our Azalea mortgage loan, revolving credit facility SOFR loans, and our unsecured term loans bear interest at Daily Simple SOFR, as defined in the respective credit agreements, plus a spread, based on our current credit rating.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Operating Partnership is a co-borrower on this mortgage loan. Additionally, we have two one-year extensions, at our option to extend the maturity date of this mortgage loan to October 30, 2030.</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(5)The interest rate on this mortgage loan is fixed at 3.67% through two interest rate swap agreements. </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(6)On July 1, 2026 we repaid $10.5 million of these mortgage loans related to six buildings, at par.</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(7)The Operating Partnership is the named obligor under our revolving credit facility, term loans, senior notes and debentures. A wholly owned subsidiary of the Operating Partnership is also a co-obligor of the $750.0 million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(8)The maximum amount drawn under our revolving credit facility during the three and six months ended June 30, 2026 was $427.7 million and $699.5 million, respectively, and the weighted average interest rate on borrowings under our revolving credit facility, before amortization of debt fees, was 4.4% for both periods.</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(9)The interest rate on $450.0 million of our $750.0 million term loan is fixed at a weighted average interest rate of 4.17% through March 1, 2028 through interest rate swap agreements.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revolving credit facility, unsecured term loans, and other debt agreements include financial and other covenants that may limit our operating activities in the future. As of June 30, 2026, we were in compliance with all financial and other covenants related to our revolving credit facility, unsecured term loans, and senior notes. Additionally, we were in compliance with all of the financial and other covenants that could trigger a loan default on our mortgage loans. If we were to breach any of these financial and other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scheduled principal repayments as of June 30, 2026:</w:t>
      </w:r>
    </w:p>
    <w:p>
      <w:pPr>
        <w:pStyle w:val="TextBody"/>
        <w:bidi w:val="0"/>
        <w:spacing w:lineRule="auto" w:line="288" w:before="0" w:after="0"/>
        <w:jc w:val="left"/>
        <w:rPr>
          <w:color w:val="000000"/>
        </w:rPr>
      </w:pPr>
      <w:r>
        <w:rPr>
          <w:color w:val="000000"/>
        </w:rPr>
        <w:t> </w:t>
      </w:r>
    </w:p>
    <w:tbl>
      <w:tblPr>
        <w:tblW w:w="5937" w:type="dxa"/>
        <w:jc w:val="left"/>
        <w:tblInd w:w="0" w:type="dxa"/>
        <w:tblLayout w:type="fixed"/>
        <w:tblCellMar>
          <w:top w:w="28" w:type="dxa"/>
          <w:left w:w="28" w:type="dxa"/>
          <w:bottom w:w="28" w:type="dxa"/>
          <w:right w:w="28" w:type="dxa"/>
        </w:tblCellMar>
      </w:tblPr>
      <w:tblGrid>
        <w:gridCol w:w="342"/>
        <w:gridCol w:w="300"/>
        <w:gridCol w:w="304"/>
        <w:gridCol w:w="211"/>
        <w:gridCol w:w="976"/>
        <w:gridCol w:w="109"/>
        <w:gridCol w:w="110"/>
        <w:gridCol w:w="110"/>
        <w:gridCol w:w="110"/>
        <w:gridCol w:w="211"/>
        <w:gridCol w:w="826"/>
        <w:gridCol w:w="109"/>
        <w:gridCol w:w="110"/>
        <w:gridCol w:w="110"/>
        <w:gridCol w:w="110"/>
        <w:gridCol w:w="109"/>
        <w:gridCol w:w="109"/>
        <w:gridCol w:w="211"/>
        <w:gridCol w:w="976"/>
        <w:gridCol w:w="109"/>
        <w:gridCol w:w="110"/>
        <w:gridCol w:w="110"/>
        <w:gridCol w:w="155"/>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4,266,508 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0" w:after="0"/>
        <w:jc w:val="left"/>
        <w:rPr/>
      </w:pPr>
      <w:r>
        <w:rPr>
          <w:rFonts w:ascii="Times New Roman;serif" w:hAnsi="Times New Roman;serif"/>
          <w:b w:val="false"/>
          <w:color w:val="000000"/>
          <w:sz w:val="20"/>
        </w:rPr>
        <w:t>__________________</w:t>
      </w:r>
      <w:r>
        <w:rPr>
          <w:color w:val="000000"/>
          <w:shd w:fill="FFFFFF" w:val="clear"/>
        </w:rPr>
        <w:t>    </w:t>
      </w:r>
    </w:p>
    <w:p>
      <w:pPr>
        <w:pStyle w:val="TextBody"/>
        <w:bidi w:val="0"/>
        <w:spacing w:lineRule="auto" w:line="288" w:before="6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(1)Our $200.0 million mortgage loan secured by Bethesda Row matures on December 28, 2026, plus one one-year extension at our option to December 28, 2027.</w:t>
      </w:r>
    </w:p>
    <w:p>
      <w:pPr>
        <w:pStyle w:val="TextBody"/>
        <w:bidi w:val="0"/>
        <w:spacing w:lineRule="auto" w:line="288" w:before="60" w:after="283"/>
        <w:ind w:left="0" w:right="0" w:hanging="630"/>
        <w:jc w:val="left"/>
        <w:rPr/>
      </w:pPr>
      <w:r>
        <w:rPr>
          <w:rFonts w:ascii="Times New Roman;serif" w:hAnsi="Times New Roman;serif"/>
          <w:b w:val="false"/>
          <w:color w:val="000000"/>
          <w:sz w:val="20"/>
          <w:shd w:fill="FFFFFF" w:val="clear"/>
        </w:rPr>
        <w:t>(2)</w:t>
      </w:r>
      <w:r>
        <w:rPr>
          <w:rFonts w:ascii="Times New Roman;serif" w:hAnsi="Times New Roman;serif"/>
          <w:b w:val="false"/>
          <w:color w:val="000000"/>
          <w:sz w:val="20"/>
        </w:rPr>
        <w:t>Our $750.0 million term loan matures on March 20, 2028, plus two one-year extensions at our option to March 20, 2030.</w:t>
      </w:r>
    </w:p>
    <w:p>
      <w:pPr>
        <w:pStyle w:val="TextBody"/>
        <w:bidi w:val="0"/>
        <w:spacing w:lineRule="auto" w:line="288" w:before="60" w:after="283"/>
        <w:ind w:left="0" w:right="0" w:hanging="630"/>
        <w:jc w:val="left"/>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 xml:space="preserve">Our $55.0 million mortgage loan secured by Azalea matures on October 30, 2028, plus two one-year extensions at our option to October 30, 2030. </w:t>
      </w:r>
    </w:p>
    <w:p>
      <w:pPr>
        <w:pStyle w:val="TextBody"/>
        <w:bidi w:val="0"/>
        <w:spacing w:lineRule="auto" w:line="288" w:before="60" w:after="283"/>
        <w:ind w:left="0" w:right="0" w:hanging="630"/>
        <w:jc w:val="left"/>
        <w:rPr/>
      </w:pPr>
      <w:r>
        <w:rPr>
          <w:rFonts w:ascii="Times New Roman;serif" w:hAnsi="Times New Roman;serif"/>
          <w:b w:val="false"/>
          <w:color w:val="000000"/>
          <w:sz w:val="20"/>
          <w:shd w:fill="FFFFFF" w:val="clear"/>
        </w:rPr>
        <w:t xml:space="preserve">(4)Our $1.4 billion revolving credit facility matures on April 12, 2030, plus two six-month extensions at our option to April 12, 2031. As of </w:t>
      </w:r>
      <w:r>
        <w:rPr>
          <w:rFonts w:ascii="Times New Roman;serif" w:hAnsi="Times New Roman;serif"/>
          <w:b w:val="false"/>
          <w:color w:val="000000"/>
          <w:sz w:val="20"/>
        </w:rPr>
        <w:t>June 30, 2026, there was $286.2 million outstanding under our revolving credit facility.</w:t>
      </w:r>
    </w:p>
    <w:p>
      <w:pPr>
        <w:pStyle w:val="TextBody"/>
        <w:bidi w:val="0"/>
        <w:spacing w:lineRule="auto" w:line="288" w:before="60" w:after="283"/>
        <w:ind w:left="0" w:right="0" w:hanging="630"/>
        <w:jc w:val="left"/>
        <w:rPr/>
      </w:pPr>
      <w:r>
        <w:rPr>
          <w:rFonts w:ascii="Times New Roman;serif" w:hAnsi="Times New Roman;serif"/>
          <w:b w:val="false"/>
          <w:color w:val="000000"/>
          <w:sz w:val="20"/>
          <w:shd w:fill="FFFFFF" w:val="clear"/>
        </w:rPr>
        <w:t>(5)</w:t>
      </w:r>
      <w:r>
        <w:rPr>
          <w:rFonts w:ascii="Times New Roman;serif" w:hAnsi="Times New Roman;serif"/>
          <w:b w:val="false"/>
          <w:color w:val="000000"/>
          <w:sz w:val="20"/>
        </w:rPr>
        <w:t>The total debt maturities differ from the total reported on the consolidated balance sheets due to the unamortized net debt issuance costs and premium/discount on mortgage loans, notes payable, and senior notes as of June 30, 2026.</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Interest Rate Hedging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rate swaps associated with cash flow hedges are recorded at fair value on a recurring basis. Effectiveness of cash flow hedges is assessed both at inception and on an ongoing basis. The effective portion of changes in fair value of the interest rate swaps associated with cash flow hedges is recorded in other comprehensive income which is included in "accumulated other comprehensive income (loss)" on the balance sheet and statement of shareholders' equity. Cash flow hedges become ineffective if critical terms of the hedging instrument and the debt instrument do not perfectly match such as notional amounts, settlement dates, reset dates, calculation period and SOFR rate. In addition, we evaluate the default risk of the counterparty by monitoring the credit-worthiness of the counterparty which includes reviewing debt ratings and financial performance. If a cash flow hedge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is deemed ineffective, the ineffective portion of changes in fair value of the interest rate swaps associated with cash flow hedges is recognized in earnings in the period affected.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have interest rate swap agreements that effectively fix the rate on the following debt instruments:</w:t>
      </w:r>
    </w:p>
    <w:tbl>
      <w:tblPr>
        <w:tblW w:w="10205" w:type="dxa"/>
        <w:jc w:val="left"/>
        <w:tblInd w:w="0" w:type="dxa"/>
        <w:tblLayout w:type="fixed"/>
        <w:tblCellMar>
          <w:top w:w="28" w:type="dxa"/>
          <w:left w:w="28" w:type="dxa"/>
          <w:bottom w:w="28" w:type="dxa"/>
          <w:right w:w="28" w:type="dxa"/>
        </w:tblCellMar>
      </w:tblPr>
      <w:tblGrid>
        <w:gridCol w:w="452"/>
        <w:gridCol w:w="339"/>
        <w:gridCol w:w="337"/>
        <w:gridCol w:w="232"/>
        <w:gridCol w:w="232"/>
        <w:gridCol w:w="234"/>
        <w:gridCol w:w="109"/>
        <w:gridCol w:w="109"/>
        <w:gridCol w:w="109"/>
        <w:gridCol w:w="601"/>
        <w:gridCol w:w="1755"/>
        <w:gridCol w:w="313"/>
        <w:gridCol w:w="109"/>
        <w:gridCol w:w="109"/>
        <w:gridCol w:w="109"/>
        <w:gridCol w:w="449"/>
        <w:gridCol w:w="396"/>
        <w:gridCol w:w="990"/>
        <w:gridCol w:w="109"/>
        <w:gridCol w:w="109"/>
        <w:gridCol w:w="109"/>
        <w:gridCol w:w="837"/>
        <w:gridCol w:w="837"/>
        <w:gridCol w:w="839"/>
        <w:gridCol w:w="109"/>
        <w:gridCol w:w="109"/>
        <w:gridCol w:w="163"/>
      </w:tblGrid>
      <w:tr>
        <w:trPr/>
        <w:tc>
          <w:tcPr>
            <w:tcW w:w="4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Debt </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 of Related Swap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 of Related Swap Agreements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$750 million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Hoboken mortgage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Unconsolidated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Assembly Row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30, 2028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Festival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4, 2030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Gateway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4, 2030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112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21"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All swaps were designated and qualify as cash flow hedges. Hedge ineffectiveness has not impacted earnings as of June 30,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REIT Qualification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intend to maintain the Trust's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Funds From Operations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Nareit Funds From Operations (“Nareit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We compute Nareit FFO in accordance with the Nareit definition, and we have historically reported our Nareit FFO available for common shareholders in addition to our net income and net cash provided by operating activities. It should be noted that Nareit FFO:</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does not represent cash flows from operating activities in accordance with GAAP (which, unlike FFO, generally reflects all cash effects of transactions and other events in the determination of net income);</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should not be considered an alternative to net income as an indication of our performance; and</w:t>
      </w:r>
    </w:p>
    <w:p>
      <w:pPr>
        <w:pStyle w:val="TextBody"/>
        <w:bidi w:val="0"/>
        <w:spacing w:lineRule="auto" w:line="288" w:before="60" w:after="283"/>
        <w:ind w:left="0" w:right="0" w:hanging="900"/>
        <w:jc w:val="left"/>
        <w:rPr/>
      </w:pPr>
      <w:r>
        <w:rPr>
          <w:color w:val="000000"/>
        </w:rPr>
        <w:t>•</w:t>
      </w:r>
      <w:r>
        <w:rPr>
          <w:rFonts w:ascii="Times New Roman;serif" w:hAnsi="Times New Roman;serif"/>
          <w:b w:val="false"/>
          <w:color w:val="000000"/>
          <w:sz w:val="20"/>
        </w:rPr>
        <w:t>is not necessarily indicative of cash flow as a measure of liquidity or ability to fund cash needs, including the payment of dividends.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consider Nareit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Nareit FFO primarily as one of several means of assessing our operating performance in comparison with other REITs. Comparison of our presentation of Nareit FFO to similarly titled measures for other REITs may not necessarily be meaningful due to possible differences in the application of the Nareit definition used by such REITs.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An increase or decrease in Nareit FFO available for common shareholders does not necessarily result in an increase or decrease in aggregate distributions because our Board of Trustees is not required to increase distributions on a quarterly basis. However, we must distribute at least 90% of our annual taxable income to remain qualified as a REIT. Therefore, a significant increase in Nareit FFO will generally require an increase in distributions to shareholders although not necessarily on a proportionate basis.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Core Funds From Operations ("Core FFO") is a supplemental non-GAAP financial measure of performance that adjusts Nareit FFO to exclude the impact of certain items that management considers are not indicative of the Company’s ongoing operating and financial performance. These adjustments include, when applicable, (1) gains or losses on early extinguishment of debt, (2) new market tax credit transaction income, (3) executive transition costs, (4) collection of prior period rents which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contractually deferred or payments renegotiated related to the COVID-19 pandemic, and (5) other items as determined by management. Management believes Core FFO provides enhanced comparability across periods and additional insight into the Company’s underlying operating results, by excluding items that may reflect short-term fluctuations in net income and Nareit FFO. Core FFO is not intended to be a substitute for net income or Nareit FFO. Comparison of our presentation of Core FFO to similarly titled measures for other REITs may not be meaningful due to possible differences in the way Core FFO is defined or applied by other REITs.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reconciliation of net income to Nareit FFO and Core FFO available to common shareholders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6"/>
        <w:gridCol w:w="963"/>
        <w:gridCol w:w="851"/>
        <w:gridCol w:w="521"/>
        <w:gridCol w:w="2039"/>
        <w:gridCol w:w="26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57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to Nareit FFO available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real estate assets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initial direct costs of leases</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from operations</w:t>
            </w:r>
          </w:p>
        </w:tc>
        <w:tc>
          <w:tcPr>
            <w:tcW w:w="2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164,643 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preferred shares (1)</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downREIT operating partnership units</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unvested shares</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diluted (1)(2)</w:t>
            </w:r>
          </w:p>
        </w:tc>
        <w:tc>
          <w:tcPr>
            <w:tcW w:w="256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86,803 </w:t>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86,393 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 per diluted share (2)</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Nareit FFO to Core FFO</w:t>
            </w:r>
          </w:p>
        </w:tc>
        <w:tc>
          <w:tcPr>
            <w:tcW w:w="2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Nareit FFO</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market tax credit transaction income, net</w:t>
            </w:r>
          </w:p>
        </w:tc>
        <w:tc>
          <w:tcPr>
            <w:tcW w:w="2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of prior period rents deferred during COVID</w:t>
            </w:r>
          </w:p>
        </w:tc>
        <w:tc>
          <w:tcPr>
            <w:tcW w:w="2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FFO per diluted share (2)</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(1)For the three and six months ended June 30, 2026 and 2025, dividends on our Series 1 preferred stock were not deducted in the calculation of FFO available to common shareholders, as the related shares were dilutive and included in "weighted average number of common shares, diluted."</w:t>
      </w:r>
    </w:p>
    <w:p>
      <w:pPr>
        <w:pStyle w:val="TextBody"/>
        <w:bidi w:val="0"/>
        <w:spacing w:lineRule="auto" w:line="288" w:before="6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weighted average common shares used to compute Nareit and Core FFO per diluted common share includes downREIT operating partnership units that were excluded from the computation of diluted EPS for the three months ended June 30, 2026. Conversion of these operating partnership units is dilutive in the computation of Nareit and Core FFO per diluted share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Fixed Interest 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outstanding debt obligations (maturing at various times through 2059) have fixed interest rates which limit the risk of fluctuating interest rates. However, interest rate fluctuations may affect the fair value of our fixed rate debt instruments. At June 30, 2026, we had $3.7 billion of fixed-rate debt outstanding, including $450.0 million of our $750.0 million unsecured term loan and $49.8 million of mortgage payables for which the rate is effectively fixed by interest rate swap agreements. If market interest rates used to calculate the fair value on our fixed-rate debt instruments at June 30, 2026 had been 1.0% higher, the fair value of those debt instruments on that date would have decreased by approximately $137.8 million. If market interest rates used to calculate the fair value on our fixed-rate debt instruments at June 30, 2026 had been 1.0% lower, the fair value of those debt instruments on that date would have increased by approximately $139.1 million.</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Variable Interest Rate Debt</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Generally, we believe that our primary interest rate risk is due to fluctuations in interest rates on our outstanding variable rate debt. At June 30, 2026, we had $1.1 billion of variable rate debt outstanding, comprised of $550.0 million of our unsecured term loans, $286.2 million outstanding on our revolving credit facility, our $200.0 million mortgage loan at Bethesda Row, and our $55.0 million mortgage loan at Azalea. Based upon this amount of variable rate debt and the specific terms, if market interest rates increased 1.0%, our annual interest expense would increase approximately $10.9 million with a corresponding decrease in our net income and cash flows for the year. Conversely, if market interest rates decreased 1.0%, our annual interest expense would decrease by approximately $10.9 million with a corresponding increase in our net income and cash flows for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Controls and Procedures (Federal Realty Investment Trust)</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Periodic Evaluation and Conclusion of 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 evaluation has been performed, under the supervision and with the participation of our management, including our Chief Executive Officer and Chief Financial Officer, of the effectiveness of the design and operation of the Trust's disclosure controls and procedures as of June 30, 2026. Based on this evaluation, our management, including our Chief Executive Officer and Chief Financial Officer, concluded that the Trust's disclosure controls and procedures were effective as of June 30, 2026 to provide reasonable assurance that information required to be disclosed in the Trust's reports filed or submitted under the Securities Exchange Act of 1934 is (i) recorded, processed, summarized and reported within the time periods specified in the rules and forms of the SEC and (ii) accumulated and communicated to the Trust’s management including its principal executive and principal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Trust's internal control over financial reporting during the quarterly period covered by this report that materially affected, or is reasonably likely to materially affect, the Trust's internal control over financial reporting.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Controls and Procedures (Federal Realty OP LP)</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Periodic Evaluation and Conclusion of Disclosure Controls and Procedures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An evaluation has been performed, under the supervision and with the participation of our management, including our Chief Executive Officer and Chief Financial Officer, of the effectiveness of the design and operation of the Operating Partnership's disclosure controls and procedures as of June 30, 2026. Based on this evaluation, our management, including our Chief Executive Officer and Chief Financial Officer, concluded that the Operating Partnership's disclosure controls and procedures were effective as of June 30, 2026 to provide reasonable assurance that information required to be disclosed in our reports filed or submitted under the Securities Exchange Act of 1934 is (i) recorded, processed, summarized and reported within the time periods specified in the rules and forms of the SEC and (ii) accumulated and communicated to the Operating Partnership’s management including its principal executive and principal financial officer as appropriate to allow timely decisions regarding required disclosure.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the Operating Partnership's internal control over financial reporting during the quarterly period covered by this report that materially affected, or is reasonably likely to materially affect, the Operating Partnership's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developments in any of our legal proceedings since the disclosure contained in our Annual Report to Form 10-K for the fiscal year ended December 31, 2025 filed with the SEC on 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our Annual Report to our Form 10-K for the year ended December 31, 2025 filed with the SEC on February 12,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2.UNREGISTERED SALES OF EQUITY SECURITIES AND USE OF PROCEEDS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have a common share repurchase program, under which we may purchase up to $300.0 million of our outstanding common shares of beneficial interest, $0.01 par value per share, from time to time using a variety of methods, including open market, privately negotiated transactions or otherwise. The specific timing and amount of common share repurchases, if any, will depend on a number of factors, including prevailing share prices, trading volume and general market conditions, along with our working capital requirements, cash flow, and other factors. The program does not require us to repurchase any dollar amount or number of common shares and may be suspended or discontinued at any time. As of June 30, 2026, no shares have been repurchased through the program.</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Under the terms of various partnership agreements of certain of our affiliated limited partnerships, the interests of limited partners in those limited partnerships may be redeemed, subject to certain conditions, for cash or common shares, at our option.</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could be deemed to have repurchased shares as a result of shares withheld for tax purposes upon a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compensation related vesting event.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3.DEFAULTS UPON SENIOR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5.OTHER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6.EXHIBITS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 list of exhibits to this Quarterly Report on Form 10-Q is set forth on the Exhibit Index immediately preceding such exhibits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2"/>
        <w:gridCol w:w="224"/>
        <w:gridCol w:w="121"/>
        <w:gridCol w:w="121"/>
        <w:gridCol w:w="121"/>
        <w:gridCol w:w="2910"/>
        <w:gridCol w:w="2861"/>
        <w:gridCol w:w="2887"/>
        <w:gridCol w:w="109"/>
        <w:gridCol w:w="109"/>
        <w:gridCol w:w="109"/>
        <w:gridCol w:w="158"/>
      </w:tblGrid>
      <w:tr>
        <w:trPr/>
        <w:tc>
          <w:tcPr>
            <w:tcW w:w="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Third Amended and Restated Credit Agreement, dated as of April 14, 2026, by and among the Partnership, the financial institutions party thereto, as Lenders, Wells Fargo Bank, National Association, as Administrative Agent, and the other parties thereto (previously filed as </w:t>
            </w:r>
            <w:hyperlink r:id="rId3">
              <w:r>
                <w:rPr>
                  <w:rStyle w:val="InternetLink"/>
                  <w:rFonts w:ascii="Times New Roman;serif" w:hAnsi="Times New Roman;serif"/>
                  <w:b w:val="false"/>
                  <w:color w:val="000080"/>
                  <w:sz w:val="20"/>
                  <w:u w:val="single"/>
                </w:rPr>
                <w:t>E</w:t>
              </w:r>
            </w:hyperlink>
            <w:hyperlink r:id="rId4">
              <w:r>
                <w:rPr>
                  <w:rStyle w:val="InternetLink"/>
                  <w:rFonts w:ascii="Times New Roman;serif" w:hAnsi="Times New Roman;serif"/>
                  <w:b w:val="false"/>
                  <w:color w:val="000080"/>
                  <w:sz w:val="20"/>
                  <w:u w:val="single"/>
                </w:rPr>
                <w:t>xhibit 10.1</w:t>
              </w:r>
            </w:hyperlink>
            <w:r>
              <w:rPr>
                <w:color w:val="000000"/>
              </w:rPr>
              <w:t xml:space="preserve"> </w:t>
            </w:r>
            <w:r>
              <w:rPr>
                <w:rFonts w:ascii="Times New Roman;serif" w:hAnsi="Times New Roman;serif"/>
                <w:b w:val="false"/>
                <w:color w:val="000000"/>
                <w:sz w:val="20"/>
              </w:rPr>
              <w:t>to the Trust's Current Report on Form 8-K filed on April 15, 2026 and incorporated herein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11.htm">
              <w:r>
                <w:rPr>
                  <w:rStyle w:val="InternetLink"/>
                  <w:rFonts w:ascii="Times New Roman;serif" w:hAnsi="Times New Roman;serif"/>
                  <w:b w:val="false"/>
                  <w:color w:val="0000FF"/>
                  <w:sz w:val="20"/>
                  <w:u w:val="single"/>
                </w:rPr>
                <w:t>31.1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12.htm">
              <w:r>
                <w:rPr>
                  <w:rStyle w:val="InternetLink"/>
                  <w:rFonts w:ascii="Times New Roman;serif" w:hAnsi="Times New Roman;serif"/>
                  <w:b w:val="false"/>
                  <w:color w:val="0000FF"/>
                  <w:sz w:val="20"/>
                  <w:u w:val="single"/>
                </w:rPr>
                <w:t>31.2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13.htm">
              <w:r>
                <w:rPr>
                  <w:rStyle w:val="InternetLink"/>
                  <w:rFonts w:ascii="Times New Roman;serif" w:hAnsi="Times New Roman;serif"/>
                  <w:b w:val="false"/>
                  <w:color w:val="0000FF"/>
                  <w:sz w:val="20"/>
                  <w:u w:val="single"/>
                </w:rPr>
                <w:t>31.3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14.htm">
              <w:r>
                <w:rPr>
                  <w:rStyle w:val="InternetLink"/>
                  <w:rFonts w:ascii="Times New Roman;serif" w:hAnsi="Times New Roman;serif"/>
                  <w:b w:val="false"/>
                  <w:color w:val="0000FF"/>
                  <w:sz w:val="20"/>
                  <w:u w:val="single"/>
                </w:rPr>
                <w:t>31.4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21.htm">
              <w:r>
                <w:rPr>
                  <w:rStyle w:val="InternetLink"/>
                  <w:rFonts w:ascii="Times New Roman;serif" w:hAnsi="Times New Roman;serif"/>
                  <w:b w:val="false"/>
                  <w:color w:val="0000FF"/>
                  <w:sz w:val="20"/>
                  <w:u w:val="single"/>
                </w:rPr>
                <w:t>32.1</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Executive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22.htm">
              <w:r>
                <w:rPr>
                  <w:rStyle w:val="InternetLink"/>
                  <w:rFonts w:ascii="Times New Roman;serif" w:hAnsi="Times New Roman;serif"/>
                  <w:b w:val="false"/>
                  <w:color w:val="0000FF"/>
                  <w:sz w:val="20"/>
                  <w:u w:val="single"/>
                </w:rPr>
                <w:t>32.2</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Financial Officer - Federal Realty Investment Trust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23.htm">
              <w:r>
                <w:rPr>
                  <w:rStyle w:val="InternetLink"/>
                  <w:rFonts w:ascii="Times New Roman;serif" w:hAnsi="Times New Roman;serif"/>
                  <w:b w:val="false"/>
                  <w:color w:val="0000FF"/>
                  <w:sz w:val="20"/>
                  <w:u w:val="single"/>
                </w:rPr>
                <w:t>32.3</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Executive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t-06302026xex324.htm">
              <w:r>
                <w:rPr>
                  <w:rStyle w:val="InternetLink"/>
                  <w:rFonts w:ascii="Times New Roman;serif" w:hAnsi="Times New Roman;serif"/>
                  <w:b w:val="false"/>
                  <w:color w:val="0000FF"/>
                  <w:sz w:val="20"/>
                  <w:u w:val="single"/>
                </w:rPr>
                <w:t>32.4</w:t>
              </w:r>
            </w:hyperlink>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Chief Financial Officer - Federal Realty OP LP (filed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Federal Realty Investment Trust and Federal Realty OP LP’s Quarterly Report on Form 10-Q for the quarter ended June 30, 2026,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c261a3462054eb4b2d365925d632516_10">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each of the Registrants has duly caused this report to be signed on its behalf by the undersigned thereunto authorized.</w:t>
      </w:r>
    </w:p>
    <w:p>
      <w:pPr>
        <w:pStyle w:val="TextBody"/>
        <w:bidi w:val="0"/>
        <w:spacing w:before="0" w:after="0"/>
        <w:jc w:val="left"/>
        <w:rPr/>
      </w:pPr>
      <w:r>
        <w:rPr/>
      </w:r>
    </w:p>
    <w:tbl>
      <w:tblPr>
        <w:tblW w:w="5531"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1163"/>
        <w:gridCol w:w="1163"/>
        <w:gridCol w:w="164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531" w:type="dxa"/>
        <w:jc w:val="center"/>
        <w:tblInd w:w="0" w:type="dxa"/>
        <w:tblLayout w:type="fixed"/>
        <w:tblCellMar>
          <w:top w:w="28" w:type="dxa"/>
          <w:left w:w="28" w:type="dxa"/>
          <w:bottom w:w="28" w:type="dxa"/>
          <w:right w:w="28" w:type="dxa"/>
        </w:tblCellMar>
      </w:tblPr>
      <w:tblGrid>
        <w:gridCol w:w="443"/>
        <w:gridCol w:w="390"/>
        <w:gridCol w:w="396"/>
        <w:gridCol w:w="109"/>
        <w:gridCol w:w="109"/>
        <w:gridCol w:w="109"/>
        <w:gridCol w:w="1163"/>
        <w:gridCol w:w="1163"/>
        <w:gridCol w:w="1649"/>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INVESTMENT TRUST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FEDERAL REALTY OP LP</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 and Treasurer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r>
        <w:trPr/>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Donald C. Wood</w:t>
      </w:r>
      <w:r>
        <w:rPr>
          <w:rFonts w:ascii="Times New Roman;serif" w:hAnsi="Times New Roman;serif"/>
          <w:b w:val="false"/>
          <w:color w:val="000000"/>
          <w:sz w:val="20"/>
        </w:rPr>
        <w:t xml:space="preserve">,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37"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930"/>
        <w:gridCol w:w="930"/>
        <w:gridCol w:w="1320"/>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Daniel Guglielmone</w:t>
      </w:r>
      <w:r>
        <w:rPr>
          <w:rFonts w:ascii="Times New Roman;serif" w:hAnsi="Times New Roman;serif"/>
          <w:b w:val="false"/>
          <w:color w:val="000000"/>
          <w:sz w:val="20"/>
        </w:rPr>
        <w:t>, certify that: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Investment Trust;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1150"/>
        <w:gridCol w:w="1150"/>
        <w:gridCol w:w="162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Donald C. Wood</w:t>
      </w:r>
      <w:r>
        <w:rPr>
          <w:rFonts w:ascii="Times New Roman;serif" w:hAnsi="Times New Roman;serif"/>
          <w:b w:val="false"/>
          <w:color w:val="000000"/>
          <w:sz w:val="20"/>
        </w:rPr>
        <w:t xml:space="preserve">, certify that: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4736"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930"/>
        <w:gridCol w:w="930"/>
        <w:gridCol w:w="131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pPr>
      <w:r>
        <w:rPr>
          <w:rFonts w:ascii="Times New Roman;serif" w:hAnsi="Times New Roman;serif"/>
          <w:b w:val="false"/>
          <w:color w:val="000000"/>
          <w:sz w:val="20"/>
        </w:rPr>
        <w:t xml:space="preserve">I, </w:t>
      </w:r>
      <w:r>
        <w:rPr>
          <w:rFonts w:ascii="Times New Roman;serif" w:hAnsi="Times New Roman;serif"/>
          <w:b w:val="false"/>
          <w:i/>
          <w:color w:val="000000"/>
          <w:sz w:val="20"/>
        </w:rPr>
        <w:t>Daniel Guglielmone</w:t>
      </w:r>
      <w:r>
        <w:rPr>
          <w:rFonts w:ascii="Times New Roman;serif" w:hAnsi="Times New Roman;serif"/>
          <w:b w:val="false"/>
          <w:color w:val="000000"/>
          <w:sz w:val="20"/>
        </w:rPr>
        <w:t>, certify that:</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Federal Realty OP LP;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90" w:after="283"/>
        <w:ind w:left="0" w:right="0" w:hanging="450"/>
        <w:jc w:val="left"/>
        <w:rPr/>
      </w:pPr>
      <w:r>
        <w:rPr/>
      </w:r>
    </w:p>
    <w:tbl>
      <w:tblPr>
        <w:tblW w:w="5486"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1150"/>
        <w:gridCol w:w="1150"/>
        <w:gridCol w:w="162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2026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37"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930"/>
        <w:gridCol w:w="930"/>
        <w:gridCol w:w="1320"/>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Trustee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June 30, 2026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1150"/>
        <w:gridCol w:w="1150"/>
        <w:gridCol w:w="162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32.3</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Donald C. Wood, the President and Chief Executive Officer of Federal Realty OP LP (the “Company”), has executed this certification in connection with the filing with the Securities and Exchange Commission of the Company’s Quarterly Report on Form 10-Q for the period ended June 30, 2026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621"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1189"/>
        <w:gridCol w:w="1189"/>
        <w:gridCol w:w="1686"/>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Donald C. Wood,</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President, Chief Executive Officer and Trustee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undersigned, Daniel Guglielmone, the Executive Vice President and Chief Financial Officer and Treasurer of Federal Realty OP LP (the “Company”), has executed this certification in connection with the filing with the Securities and Exchange Commission of the Company’s Quarterly Report on Form 10-Q for the period ended June 30, 2026 (the “Report”). The undersigned hereby certifies, to the best of his knowledge, that:</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99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ind w:left="0" w:right="0" w:hanging="630"/>
        <w:jc w:val="left"/>
        <w:rPr/>
      </w:pPr>
      <w:r>
        <w:rPr/>
      </w:r>
    </w:p>
    <w:tbl>
      <w:tblPr>
        <w:tblW w:w="5486" w:type="dxa"/>
        <w:jc w:val="left"/>
        <w:tblInd w:w="0" w:type="dxa"/>
        <w:tblLayout w:type="fixed"/>
        <w:tblCellMar>
          <w:top w:w="28" w:type="dxa"/>
          <w:left w:w="28" w:type="dxa"/>
          <w:bottom w:w="28" w:type="dxa"/>
          <w:right w:w="28" w:type="dxa"/>
        </w:tblCellMar>
      </w:tblPr>
      <w:tblGrid>
        <w:gridCol w:w="445"/>
        <w:gridCol w:w="392"/>
        <w:gridCol w:w="393"/>
        <w:gridCol w:w="109"/>
        <w:gridCol w:w="109"/>
        <w:gridCol w:w="109"/>
        <w:gridCol w:w="1150"/>
        <w:gridCol w:w="1150"/>
        <w:gridCol w:w="1629"/>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Guglielmone,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Executive Vice President - </w:t>
              <w:br/>
              <w:t>Chief Financial Officer and Treasurer</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903/000003490326000017/frt-20251231.htm" TargetMode="External"/><Relationship Id="rId3" Type="http://schemas.openxmlformats.org/officeDocument/2006/relationships/hyperlink" Target="https://www.sec.gov/Archives/edgar/data/34903/000119312526156973/d105267dex101.htm" TargetMode="External"/><Relationship Id="rId4" Type="http://schemas.openxmlformats.org/officeDocument/2006/relationships/hyperlink" Target="https://www.sec.gov/Archives/edgar/data/34903/000119312526156973/d105267d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24244</Words>
  <Characters>135415</Characters>
  <CharactersWithSpaces>158101</CharactersWithSpaces>
  <Paragraphs>3817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